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charts/chart5.xml" ContentType="application/vnd.openxmlformats-officedocument.drawingml.chart+xml"/>
  <Override PartName="/word/charts/style5.xml" ContentType="application/vnd.ms-office.chartstyle+xml"/>
  <Override PartName="/word/charts/colors5.xml" ContentType="application/vnd.ms-office.chartcolorstyle+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2D5C80" w:rsidRPr="008264AF" w:rsidRDefault="00F63318" w:rsidP="009B4300">
      <w:pPr>
        <w:spacing w:line="276" w:lineRule="auto"/>
        <w:jc w:val="both"/>
        <w:rPr>
          <w:sz w:val="40"/>
        </w:rPr>
      </w:pPr>
      <w:r>
        <w:rPr>
          <w:sz w:val="40"/>
        </w:rPr>
        <w:t>Green Financing</w:t>
      </w:r>
      <w:r w:rsidR="0064112C" w:rsidRPr="008264AF">
        <w:rPr>
          <w:sz w:val="40"/>
        </w:rPr>
        <w:t xml:space="preserve"> Status</w:t>
      </w:r>
      <w:r w:rsidR="006E572C" w:rsidRPr="008264AF">
        <w:rPr>
          <w:sz w:val="40"/>
        </w:rPr>
        <w:t xml:space="preserve"> </w:t>
      </w:r>
      <w:r>
        <w:rPr>
          <w:sz w:val="40"/>
        </w:rPr>
        <w:t>of Schedule</w:t>
      </w:r>
      <w:r w:rsidR="00D64ABC">
        <w:rPr>
          <w:sz w:val="40"/>
        </w:rPr>
        <w:t>d</w:t>
      </w:r>
      <w:r>
        <w:rPr>
          <w:sz w:val="40"/>
        </w:rPr>
        <w:t xml:space="preserve"> Banks</w:t>
      </w:r>
      <w:r w:rsidR="00C92F67">
        <w:rPr>
          <w:sz w:val="40"/>
        </w:rPr>
        <w:t>:</w:t>
      </w:r>
      <w:r w:rsidR="006E572C" w:rsidRPr="008264AF">
        <w:rPr>
          <w:sz w:val="40"/>
        </w:rPr>
        <w:t xml:space="preserve"> </w:t>
      </w:r>
      <w:r>
        <w:rPr>
          <w:sz w:val="40"/>
        </w:rPr>
        <w:t>Bangladesh</w:t>
      </w:r>
      <w:r w:rsidR="00C92F67">
        <w:rPr>
          <w:sz w:val="40"/>
        </w:rPr>
        <w:t xml:space="preserve"> </w:t>
      </w:r>
      <w:r w:rsidR="005B3C5C">
        <w:rPr>
          <w:sz w:val="40"/>
        </w:rPr>
        <w:t>Perspective</w:t>
      </w:r>
    </w:p>
    <w:p w:rsidR="006E572C" w:rsidRPr="00772DEA" w:rsidRDefault="006E572C" w:rsidP="009B4300">
      <w:pPr>
        <w:spacing w:after="0" w:line="276" w:lineRule="auto"/>
        <w:jc w:val="both"/>
        <w:rPr>
          <w:b/>
        </w:rPr>
      </w:pPr>
      <w:r w:rsidRPr="00772DEA">
        <w:rPr>
          <w:b/>
        </w:rPr>
        <w:t>Abstract</w:t>
      </w:r>
    </w:p>
    <w:p w:rsidR="00EB3001" w:rsidRPr="00585A62" w:rsidRDefault="006E572C" w:rsidP="009B4300">
      <w:pPr>
        <w:spacing w:line="276" w:lineRule="auto"/>
        <w:jc w:val="both"/>
        <w:rPr>
          <w:rStyle w:val="Emphasis"/>
          <w:i w:val="0"/>
          <w:color w:val="0E101A"/>
          <w:sz w:val="20"/>
          <w:szCs w:val="20"/>
        </w:rPr>
      </w:pPr>
      <w:r w:rsidRPr="00772DEA">
        <w:rPr>
          <w:rStyle w:val="Emphasis"/>
          <w:color w:val="0E101A"/>
          <w:sz w:val="20"/>
          <w:szCs w:val="20"/>
        </w:rPr>
        <w:t>Bangladesh is the 7th most vulnerable</w:t>
      </w:r>
      <w:r w:rsidR="008264AF">
        <w:rPr>
          <w:rStyle w:val="Emphasis"/>
          <w:color w:val="0E101A"/>
          <w:sz w:val="20"/>
          <w:szCs w:val="20"/>
        </w:rPr>
        <w:t xml:space="preserve"> country regarding climate risk index</w:t>
      </w:r>
      <w:r w:rsidRPr="00772DEA">
        <w:rPr>
          <w:rStyle w:val="Emphasis"/>
          <w:color w:val="0E101A"/>
          <w:sz w:val="20"/>
          <w:szCs w:val="20"/>
        </w:rPr>
        <w:t xml:space="preserve"> in the world, though it’s minimal contribution to the problem. This</w:t>
      </w:r>
      <w:r w:rsidR="00F63318">
        <w:rPr>
          <w:rStyle w:val="Emphasis"/>
          <w:color w:val="0E101A"/>
          <w:sz w:val="20"/>
          <w:szCs w:val="20"/>
        </w:rPr>
        <w:t xml:space="preserve"> study</w:t>
      </w:r>
      <w:r w:rsidRPr="00772DEA">
        <w:rPr>
          <w:rStyle w:val="Emphasis"/>
          <w:color w:val="0E101A"/>
          <w:sz w:val="20"/>
          <w:szCs w:val="20"/>
        </w:rPr>
        <w:t xml:space="preserve"> aims</w:t>
      </w:r>
      <w:r w:rsidR="001F5574">
        <w:rPr>
          <w:rStyle w:val="Emphasis"/>
          <w:color w:val="0E101A"/>
          <w:sz w:val="20"/>
          <w:szCs w:val="20"/>
        </w:rPr>
        <w:t xml:space="preserve"> </w:t>
      </w:r>
      <w:r w:rsidRPr="00772DEA">
        <w:rPr>
          <w:rStyle w:val="Emphasis"/>
          <w:color w:val="0E101A"/>
          <w:sz w:val="20"/>
          <w:szCs w:val="20"/>
        </w:rPr>
        <w:t>to ex</w:t>
      </w:r>
      <w:r w:rsidR="0064112C" w:rsidRPr="00772DEA">
        <w:rPr>
          <w:rStyle w:val="Emphasis"/>
          <w:color w:val="0E101A"/>
          <w:sz w:val="20"/>
          <w:szCs w:val="20"/>
        </w:rPr>
        <w:t>amine the</w:t>
      </w:r>
      <w:r w:rsidRPr="00772DEA">
        <w:rPr>
          <w:rStyle w:val="Emphasis"/>
          <w:color w:val="0E101A"/>
          <w:sz w:val="20"/>
          <w:szCs w:val="20"/>
        </w:rPr>
        <w:t xml:space="preserve"> green </w:t>
      </w:r>
      <w:r w:rsidR="00F63318">
        <w:rPr>
          <w:rStyle w:val="Emphasis"/>
          <w:color w:val="0E101A"/>
          <w:sz w:val="20"/>
          <w:szCs w:val="20"/>
        </w:rPr>
        <w:t>financing</w:t>
      </w:r>
      <w:r w:rsidR="001F5574">
        <w:rPr>
          <w:rStyle w:val="Emphasis"/>
          <w:color w:val="0E101A"/>
          <w:sz w:val="20"/>
          <w:szCs w:val="20"/>
        </w:rPr>
        <w:t xml:space="preserve"> </w:t>
      </w:r>
      <w:r w:rsidR="006533B2">
        <w:rPr>
          <w:rStyle w:val="Emphasis"/>
          <w:color w:val="0E101A"/>
          <w:sz w:val="20"/>
          <w:szCs w:val="20"/>
        </w:rPr>
        <w:t>status and</w:t>
      </w:r>
      <w:r w:rsidR="001F5574">
        <w:rPr>
          <w:rStyle w:val="Emphasis"/>
          <w:color w:val="0E101A"/>
          <w:sz w:val="20"/>
          <w:szCs w:val="20"/>
        </w:rPr>
        <w:t xml:space="preserve"> </w:t>
      </w:r>
      <w:r w:rsidR="00F63318">
        <w:rPr>
          <w:rStyle w:val="Emphasis"/>
          <w:color w:val="0E101A"/>
          <w:sz w:val="20"/>
          <w:szCs w:val="20"/>
        </w:rPr>
        <w:t>find out the position of commercial banks</w:t>
      </w:r>
      <w:r w:rsidR="006533B2">
        <w:rPr>
          <w:rStyle w:val="Emphasis"/>
          <w:color w:val="0E101A"/>
          <w:sz w:val="20"/>
          <w:szCs w:val="20"/>
        </w:rPr>
        <w:t xml:space="preserve"> regarding target achieved set by the</w:t>
      </w:r>
      <w:r w:rsidR="001F5574">
        <w:rPr>
          <w:rStyle w:val="Emphasis"/>
          <w:color w:val="0E101A"/>
          <w:sz w:val="20"/>
          <w:szCs w:val="20"/>
        </w:rPr>
        <w:t xml:space="preserve"> central</w:t>
      </w:r>
      <w:r w:rsidR="0064112C" w:rsidRPr="00772DEA">
        <w:rPr>
          <w:rStyle w:val="Emphasis"/>
          <w:color w:val="0E101A"/>
          <w:sz w:val="20"/>
          <w:szCs w:val="20"/>
        </w:rPr>
        <w:t xml:space="preserve"> bank</w:t>
      </w:r>
      <w:r w:rsidR="001F5574">
        <w:rPr>
          <w:rStyle w:val="Emphasis"/>
          <w:color w:val="0E101A"/>
          <w:sz w:val="20"/>
          <w:szCs w:val="20"/>
        </w:rPr>
        <w:t xml:space="preserve"> in Bangladesh. This study</w:t>
      </w:r>
      <w:r w:rsidRPr="00772DEA">
        <w:rPr>
          <w:rStyle w:val="Emphasis"/>
          <w:color w:val="0E101A"/>
          <w:sz w:val="20"/>
          <w:szCs w:val="20"/>
        </w:rPr>
        <w:t xml:space="preserve"> gathered quarterly published data by Bangladesh Bank </w:t>
      </w:r>
      <w:r w:rsidR="006533B2">
        <w:rPr>
          <w:rStyle w:val="Emphasis"/>
          <w:color w:val="0E101A"/>
          <w:sz w:val="20"/>
          <w:szCs w:val="20"/>
        </w:rPr>
        <w:t>sustainable department.</w:t>
      </w:r>
      <w:r w:rsidRPr="00772DEA">
        <w:rPr>
          <w:rStyle w:val="Emphasis"/>
          <w:color w:val="0E101A"/>
          <w:sz w:val="20"/>
          <w:szCs w:val="20"/>
        </w:rPr>
        <w:t xml:space="preserve"> This study </w:t>
      </w:r>
      <w:r w:rsidR="001F5574">
        <w:rPr>
          <w:rStyle w:val="Emphasis"/>
          <w:color w:val="0E101A"/>
          <w:sz w:val="20"/>
          <w:szCs w:val="20"/>
        </w:rPr>
        <w:t>finds 22 banks</w:t>
      </w:r>
      <w:r w:rsidR="00792080">
        <w:rPr>
          <w:rStyle w:val="Emphasis"/>
          <w:color w:val="0E101A"/>
          <w:sz w:val="20"/>
          <w:szCs w:val="20"/>
        </w:rPr>
        <w:t xml:space="preserve"> out of 61</w:t>
      </w:r>
      <w:r w:rsidR="001F5574">
        <w:rPr>
          <w:rStyle w:val="Emphasis"/>
          <w:color w:val="0E101A"/>
          <w:sz w:val="20"/>
          <w:szCs w:val="20"/>
        </w:rPr>
        <w:t xml:space="preserve"> achieved </w:t>
      </w:r>
      <w:r w:rsidR="006533B2">
        <w:rPr>
          <w:rStyle w:val="Emphasis"/>
          <w:color w:val="0E101A"/>
          <w:sz w:val="20"/>
          <w:szCs w:val="20"/>
        </w:rPr>
        <w:t>green finance</w:t>
      </w:r>
      <w:r w:rsidRPr="00772DEA">
        <w:rPr>
          <w:rStyle w:val="Emphasis"/>
          <w:color w:val="0E101A"/>
          <w:sz w:val="20"/>
          <w:szCs w:val="20"/>
        </w:rPr>
        <w:t xml:space="preserve"> </w:t>
      </w:r>
      <w:r w:rsidR="001F5574">
        <w:rPr>
          <w:rStyle w:val="Emphasis"/>
          <w:color w:val="0E101A"/>
          <w:sz w:val="20"/>
          <w:szCs w:val="20"/>
        </w:rPr>
        <w:t>target where</w:t>
      </w:r>
      <w:r w:rsidR="00EB3001">
        <w:rPr>
          <w:rStyle w:val="Emphasis"/>
          <w:color w:val="0E101A"/>
          <w:sz w:val="20"/>
          <w:szCs w:val="20"/>
        </w:rPr>
        <w:t xml:space="preserve"> United Commercial Bank</w:t>
      </w:r>
      <w:r w:rsidRPr="00772DEA">
        <w:rPr>
          <w:rStyle w:val="Emphasis"/>
          <w:color w:val="0E101A"/>
          <w:sz w:val="20"/>
          <w:szCs w:val="20"/>
        </w:rPr>
        <w:t xml:space="preserve"> PLC stood in the top position at 36.21%, next to</w:t>
      </w:r>
      <w:r w:rsidR="001F5574">
        <w:rPr>
          <w:rStyle w:val="Emphasis"/>
          <w:color w:val="0E101A"/>
          <w:sz w:val="20"/>
          <w:szCs w:val="20"/>
        </w:rPr>
        <w:t xml:space="preserve"> Jamuna Bank PLC at 29.85%, IBB</w:t>
      </w:r>
      <w:r w:rsidRPr="00772DEA">
        <w:rPr>
          <w:rStyle w:val="Emphasis"/>
          <w:color w:val="0E101A"/>
          <w:sz w:val="20"/>
          <w:szCs w:val="20"/>
        </w:rPr>
        <w:t xml:space="preserve"> PLC at 22.42%, a</w:t>
      </w:r>
      <w:r w:rsidR="001F5574">
        <w:rPr>
          <w:rStyle w:val="Emphasis"/>
          <w:color w:val="0E101A"/>
          <w:sz w:val="20"/>
          <w:szCs w:val="20"/>
        </w:rPr>
        <w:t>nd Bank Asia stood at the end</w:t>
      </w:r>
      <w:r w:rsidRPr="00772DEA">
        <w:rPr>
          <w:rStyle w:val="Emphasis"/>
          <w:color w:val="0E101A"/>
          <w:sz w:val="20"/>
          <w:szCs w:val="20"/>
        </w:rPr>
        <w:t xml:space="preserve"> a</w:t>
      </w:r>
      <w:r w:rsidR="002E7020">
        <w:rPr>
          <w:rStyle w:val="Emphasis"/>
          <w:color w:val="0E101A"/>
          <w:sz w:val="20"/>
          <w:szCs w:val="20"/>
        </w:rPr>
        <w:t>t 5.47%. On the other hand,</w:t>
      </w:r>
      <w:r w:rsidRPr="00772DEA">
        <w:rPr>
          <w:rStyle w:val="Emphasis"/>
          <w:color w:val="0E101A"/>
          <w:sz w:val="20"/>
          <w:szCs w:val="20"/>
        </w:rPr>
        <w:t xml:space="preserve"> 17 commercial banks fulfill t</w:t>
      </w:r>
      <w:r w:rsidR="002E7020">
        <w:rPr>
          <w:rStyle w:val="Emphasis"/>
          <w:color w:val="0E101A"/>
          <w:sz w:val="20"/>
          <w:szCs w:val="20"/>
        </w:rPr>
        <w:t>he sustainable financing target</w:t>
      </w:r>
      <w:r w:rsidRPr="00772DEA">
        <w:rPr>
          <w:rStyle w:val="Emphasis"/>
          <w:color w:val="0E101A"/>
          <w:sz w:val="20"/>
          <w:szCs w:val="20"/>
        </w:rPr>
        <w:t xml:space="preserve"> of the total term loan disbursement set by Bangladesh Bank. It is observed that in Q4, 2023, 17 banks out of 61 had ex</w:t>
      </w:r>
      <w:r w:rsidR="002E7020">
        <w:rPr>
          <w:rStyle w:val="Emphasis"/>
          <w:color w:val="0E101A"/>
          <w:sz w:val="20"/>
          <w:szCs w:val="20"/>
        </w:rPr>
        <w:t xml:space="preserve">posure to green finance, where </w:t>
      </w:r>
      <w:r w:rsidRPr="00772DEA">
        <w:rPr>
          <w:rStyle w:val="Emphasis"/>
          <w:color w:val="0E101A"/>
          <w:sz w:val="20"/>
          <w:szCs w:val="20"/>
        </w:rPr>
        <w:t>16 banks were PCBs. Only Bangladesh Krishi Bank occupied the top position, accounting for 56.48% of sustainabl</w:t>
      </w:r>
      <w:r w:rsidR="002E7020">
        <w:rPr>
          <w:rStyle w:val="Emphasis"/>
          <w:color w:val="0E101A"/>
          <w:sz w:val="20"/>
          <w:szCs w:val="20"/>
        </w:rPr>
        <w:t>e finance next to NRB</w:t>
      </w:r>
      <w:r w:rsidR="008D2C2C" w:rsidRPr="00772DEA">
        <w:rPr>
          <w:rStyle w:val="Emphasis"/>
          <w:color w:val="0E101A"/>
          <w:sz w:val="20"/>
          <w:szCs w:val="20"/>
        </w:rPr>
        <w:t xml:space="preserve"> Bank PLC 42.86%, BRAC</w:t>
      </w:r>
      <w:r w:rsidRPr="00772DEA">
        <w:rPr>
          <w:rStyle w:val="Emphasis"/>
          <w:color w:val="0E101A"/>
          <w:sz w:val="20"/>
          <w:szCs w:val="20"/>
        </w:rPr>
        <w:t xml:space="preserve"> Bank PLC 41.32%, etc., and Jamuna Bank PLC stood last posit</w:t>
      </w:r>
      <w:r w:rsidR="00AB011D">
        <w:rPr>
          <w:rStyle w:val="Emphasis"/>
          <w:color w:val="0E101A"/>
          <w:sz w:val="20"/>
          <w:szCs w:val="20"/>
        </w:rPr>
        <w:t>ion at 21.57%. The study also fi</w:t>
      </w:r>
      <w:r w:rsidRPr="00772DEA">
        <w:rPr>
          <w:rStyle w:val="Emphasis"/>
          <w:color w:val="0E101A"/>
          <w:sz w:val="20"/>
          <w:szCs w:val="20"/>
        </w:rPr>
        <w:t>nd</w:t>
      </w:r>
      <w:r w:rsidR="00AB011D">
        <w:rPr>
          <w:rStyle w:val="Emphasis"/>
          <w:color w:val="0E101A"/>
          <w:sz w:val="20"/>
          <w:szCs w:val="20"/>
        </w:rPr>
        <w:t>s</w:t>
      </w:r>
      <w:r w:rsidRPr="00772DEA">
        <w:rPr>
          <w:rStyle w:val="Emphasis"/>
          <w:color w:val="0E101A"/>
          <w:sz w:val="20"/>
          <w:szCs w:val="20"/>
        </w:rPr>
        <w:t xml:space="preserve"> the total target ac</w:t>
      </w:r>
      <w:r w:rsidR="006533B2">
        <w:rPr>
          <w:rStyle w:val="Emphasis"/>
          <w:color w:val="0E101A"/>
          <w:sz w:val="20"/>
          <w:szCs w:val="20"/>
        </w:rPr>
        <w:t>hieved by banks was 9.09% in green finance</w:t>
      </w:r>
      <w:r w:rsidRPr="00772DEA">
        <w:rPr>
          <w:rStyle w:val="Emphasis"/>
          <w:color w:val="0E101A"/>
          <w:sz w:val="20"/>
          <w:szCs w:val="20"/>
        </w:rPr>
        <w:t xml:space="preserve"> a</w:t>
      </w:r>
      <w:r w:rsidR="006533B2">
        <w:rPr>
          <w:rStyle w:val="Emphasis"/>
          <w:color w:val="0E101A"/>
          <w:sz w:val="20"/>
          <w:szCs w:val="20"/>
        </w:rPr>
        <w:t>nd 27.24% in sustainable finance</w:t>
      </w:r>
      <w:r w:rsidRPr="00772DEA">
        <w:rPr>
          <w:rStyle w:val="Emphasis"/>
          <w:color w:val="0E101A"/>
          <w:sz w:val="20"/>
          <w:szCs w:val="20"/>
        </w:rPr>
        <w:t>, which</w:t>
      </w:r>
      <w:r w:rsidR="002E7020">
        <w:rPr>
          <w:rStyle w:val="Emphasis"/>
          <w:color w:val="0E101A"/>
          <w:sz w:val="20"/>
          <w:szCs w:val="20"/>
        </w:rPr>
        <w:t xml:space="preserve"> exceeded the target set by the</w:t>
      </w:r>
      <w:r w:rsidRPr="00772DEA">
        <w:rPr>
          <w:rStyle w:val="Emphasis"/>
          <w:color w:val="0E101A"/>
          <w:sz w:val="20"/>
          <w:szCs w:val="20"/>
        </w:rPr>
        <w:t xml:space="preserve"> Bangladesh</w:t>
      </w:r>
      <w:r w:rsidR="002E7020">
        <w:rPr>
          <w:rStyle w:val="Emphasis"/>
          <w:color w:val="0E101A"/>
          <w:sz w:val="20"/>
          <w:szCs w:val="20"/>
        </w:rPr>
        <w:t xml:space="preserve"> bank</w:t>
      </w:r>
      <w:r w:rsidRPr="00772DEA">
        <w:rPr>
          <w:rStyle w:val="Emphasis"/>
          <w:color w:val="0E101A"/>
          <w:sz w:val="20"/>
          <w:szCs w:val="20"/>
        </w:rPr>
        <w:t xml:space="preserve"> and it is a milestone to achieve SDGs set by the UN by 2030.</w:t>
      </w:r>
      <w:r w:rsidR="00585A62">
        <w:rPr>
          <w:rStyle w:val="Emphasis"/>
          <w:color w:val="0E101A"/>
          <w:sz w:val="20"/>
          <w:szCs w:val="20"/>
        </w:rPr>
        <w:t xml:space="preserve"> </w:t>
      </w:r>
      <w:r w:rsidR="00585A62" w:rsidRPr="00585A62">
        <w:rPr>
          <w:i/>
          <w:sz w:val="20"/>
          <w:szCs w:val="20"/>
        </w:rPr>
        <w:t>The study is conducted on the basis of secondary data collected from Bangladesh bank sustainable department website</w:t>
      </w:r>
      <w:r w:rsidR="00585A62">
        <w:rPr>
          <w:i/>
          <w:sz w:val="20"/>
          <w:szCs w:val="20"/>
        </w:rPr>
        <w:t xml:space="preserve"> published in 2023 and 2024</w:t>
      </w:r>
      <w:r w:rsidR="00585A62" w:rsidRPr="00585A62">
        <w:rPr>
          <w:i/>
          <w:sz w:val="20"/>
          <w:szCs w:val="20"/>
        </w:rPr>
        <w:t>. A total of 61 banks are functioning right now in four categories such as PCBs (43), SOCBs (06), FCBs (09) and SDBs (03)</w:t>
      </w:r>
      <w:r w:rsidR="00585A62">
        <w:rPr>
          <w:rStyle w:val="Emphasis"/>
          <w:i w:val="0"/>
          <w:color w:val="0E101A"/>
          <w:sz w:val="20"/>
          <w:szCs w:val="20"/>
        </w:rPr>
        <w:t xml:space="preserve"> were taken under </w:t>
      </w:r>
      <w:r w:rsidR="004A2370">
        <w:rPr>
          <w:rStyle w:val="Emphasis"/>
          <w:i w:val="0"/>
          <w:color w:val="0E101A"/>
          <w:sz w:val="20"/>
          <w:szCs w:val="20"/>
        </w:rPr>
        <w:t>consideration and MS-Excel software 2016 were used in preparing results.</w:t>
      </w:r>
      <w:r w:rsidRPr="00585A62">
        <w:rPr>
          <w:rStyle w:val="Emphasis"/>
          <w:i w:val="0"/>
          <w:color w:val="0E101A"/>
          <w:sz w:val="20"/>
          <w:szCs w:val="20"/>
        </w:rPr>
        <w:t xml:space="preserve"> </w:t>
      </w:r>
    </w:p>
    <w:p w:rsidR="009638B9" w:rsidRDefault="00AB011D" w:rsidP="009B4300">
      <w:pPr>
        <w:spacing w:line="276" w:lineRule="auto"/>
        <w:jc w:val="both"/>
        <w:rPr>
          <w:b/>
          <w:bCs/>
        </w:rPr>
      </w:pPr>
      <w:r>
        <w:rPr>
          <w:rStyle w:val="Emphasis"/>
          <w:b/>
          <w:color w:val="0E101A"/>
          <w:sz w:val="20"/>
          <w:szCs w:val="20"/>
        </w:rPr>
        <w:t>KEYWORDS</w:t>
      </w:r>
      <w:r w:rsidR="00772DEA" w:rsidRPr="00EB3001">
        <w:rPr>
          <w:rStyle w:val="Emphasis"/>
          <w:b/>
          <w:color w:val="0E101A"/>
          <w:sz w:val="20"/>
          <w:szCs w:val="20"/>
        </w:rPr>
        <w:t>:</w:t>
      </w:r>
      <w:r w:rsidR="009638B9">
        <w:rPr>
          <w:rStyle w:val="Emphasis"/>
          <w:color w:val="0E101A"/>
          <w:sz w:val="20"/>
          <w:szCs w:val="20"/>
        </w:rPr>
        <w:t xml:space="preserve"> </w:t>
      </w:r>
      <w:r w:rsidR="00772DEA">
        <w:rPr>
          <w:rStyle w:val="Emphasis"/>
          <w:color w:val="0E101A"/>
          <w:sz w:val="20"/>
          <w:szCs w:val="20"/>
        </w:rPr>
        <w:t xml:space="preserve">Status, </w:t>
      </w:r>
      <w:r>
        <w:rPr>
          <w:rStyle w:val="Emphasis"/>
          <w:color w:val="0E101A"/>
          <w:sz w:val="20"/>
          <w:szCs w:val="20"/>
        </w:rPr>
        <w:t>green banking, green financing</w:t>
      </w:r>
      <w:r w:rsidR="00772DEA">
        <w:rPr>
          <w:rStyle w:val="Emphasis"/>
          <w:color w:val="0E101A"/>
          <w:sz w:val="20"/>
          <w:szCs w:val="20"/>
        </w:rPr>
        <w:t>,</w:t>
      </w:r>
      <w:r w:rsidR="00D64ABC">
        <w:rPr>
          <w:rStyle w:val="Emphasis"/>
          <w:color w:val="0E101A"/>
          <w:sz w:val="20"/>
          <w:szCs w:val="20"/>
        </w:rPr>
        <w:t xml:space="preserve"> environment</w:t>
      </w:r>
    </w:p>
    <w:p w:rsidR="009638B9" w:rsidRDefault="009638B9" w:rsidP="009B4300">
      <w:pPr>
        <w:pStyle w:val="Default"/>
        <w:spacing w:line="276" w:lineRule="auto"/>
        <w:contextualSpacing/>
        <w:jc w:val="both"/>
        <w:rPr>
          <w:b/>
          <w:bCs/>
          <w:color w:val="000000" w:themeColor="text1"/>
        </w:rPr>
      </w:pPr>
    </w:p>
    <w:p w:rsidR="009638B9" w:rsidRDefault="009638B9" w:rsidP="009B4300">
      <w:pPr>
        <w:pStyle w:val="Default"/>
        <w:spacing w:line="276" w:lineRule="auto"/>
        <w:contextualSpacing/>
        <w:jc w:val="both"/>
        <w:rPr>
          <w:b/>
          <w:bCs/>
          <w:color w:val="000000" w:themeColor="text1"/>
        </w:rPr>
      </w:pPr>
    </w:p>
    <w:p w:rsidR="009638B9" w:rsidRDefault="009638B9" w:rsidP="009B4300">
      <w:pPr>
        <w:pStyle w:val="Default"/>
        <w:spacing w:line="276" w:lineRule="auto"/>
        <w:contextualSpacing/>
        <w:jc w:val="both"/>
        <w:rPr>
          <w:b/>
          <w:bCs/>
          <w:color w:val="000000" w:themeColor="text1"/>
        </w:rPr>
      </w:pPr>
    </w:p>
    <w:p w:rsidR="009638B9" w:rsidRDefault="009638B9" w:rsidP="009B4300">
      <w:pPr>
        <w:pStyle w:val="Default"/>
        <w:spacing w:line="276" w:lineRule="auto"/>
        <w:contextualSpacing/>
        <w:jc w:val="both"/>
        <w:rPr>
          <w:b/>
          <w:bCs/>
          <w:color w:val="000000" w:themeColor="text1"/>
        </w:rPr>
      </w:pPr>
    </w:p>
    <w:p w:rsidR="00792080" w:rsidRDefault="00792080" w:rsidP="009B4300">
      <w:pPr>
        <w:pStyle w:val="Default"/>
        <w:spacing w:line="276" w:lineRule="auto"/>
        <w:contextualSpacing/>
        <w:jc w:val="both"/>
        <w:rPr>
          <w:b/>
          <w:bCs/>
          <w:color w:val="000000" w:themeColor="text1"/>
        </w:rPr>
      </w:pPr>
    </w:p>
    <w:p w:rsidR="00792080" w:rsidRDefault="00792080" w:rsidP="009B4300">
      <w:pPr>
        <w:pStyle w:val="Default"/>
        <w:spacing w:line="276" w:lineRule="auto"/>
        <w:contextualSpacing/>
        <w:jc w:val="both"/>
        <w:rPr>
          <w:b/>
          <w:bCs/>
          <w:color w:val="000000" w:themeColor="text1"/>
        </w:rPr>
      </w:pPr>
    </w:p>
    <w:p w:rsidR="00792080" w:rsidRDefault="00792080" w:rsidP="009B4300">
      <w:pPr>
        <w:pStyle w:val="Default"/>
        <w:spacing w:line="276" w:lineRule="auto"/>
        <w:contextualSpacing/>
        <w:jc w:val="both"/>
        <w:rPr>
          <w:b/>
          <w:bCs/>
          <w:color w:val="000000" w:themeColor="text1"/>
        </w:rPr>
      </w:pPr>
    </w:p>
    <w:p w:rsidR="009638B9" w:rsidRDefault="009638B9" w:rsidP="009B4300">
      <w:pPr>
        <w:pStyle w:val="Default"/>
        <w:spacing w:line="276" w:lineRule="auto"/>
        <w:contextualSpacing/>
        <w:jc w:val="both"/>
        <w:rPr>
          <w:b/>
          <w:bCs/>
          <w:color w:val="000000" w:themeColor="text1"/>
        </w:rPr>
      </w:pPr>
    </w:p>
    <w:p w:rsidR="009638B9" w:rsidRDefault="009638B9" w:rsidP="009B4300">
      <w:pPr>
        <w:pStyle w:val="Default"/>
        <w:spacing w:line="276" w:lineRule="auto"/>
        <w:contextualSpacing/>
        <w:jc w:val="both"/>
        <w:rPr>
          <w:b/>
          <w:bCs/>
          <w:color w:val="000000" w:themeColor="text1"/>
        </w:rPr>
      </w:pPr>
    </w:p>
    <w:p w:rsidR="009638B9" w:rsidRDefault="009638B9" w:rsidP="009B4300">
      <w:pPr>
        <w:pStyle w:val="Default"/>
        <w:spacing w:line="276" w:lineRule="auto"/>
        <w:contextualSpacing/>
        <w:jc w:val="both"/>
        <w:rPr>
          <w:b/>
          <w:bCs/>
          <w:color w:val="000000" w:themeColor="text1"/>
        </w:rPr>
      </w:pPr>
    </w:p>
    <w:p w:rsidR="009638B9" w:rsidRDefault="009638B9" w:rsidP="009B4300">
      <w:pPr>
        <w:pStyle w:val="Default"/>
        <w:spacing w:line="276" w:lineRule="auto"/>
        <w:contextualSpacing/>
        <w:jc w:val="both"/>
        <w:rPr>
          <w:b/>
          <w:bCs/>
          <w:color w:val="000000" w:themeColor="text1"/>
        </w:rPr>
      </w:pPr>
    </w:p>
    <w:p w:rsidR="009638B9" w:rsidRDefault="009638B9" w:rsidP="009B4300">
      <w:pPr>
        <w:pStyle w:val="Default"/>
        <w:spacing w:line="276" w:lineRule="auto"/>
        <w:contextualSpacing/>
        <w:jc w:val="both"/>
        <w:rPr>
          <w:b/>
          <w:bCs/>
          <w:color w:val="000000" w:themeColor="text1"/>
        </w:rPr>
      </w:pPr>
    </w:p>
    <w:p w:rsidR="009638B9" w:rsidRDefault="009638B9" w:rsidP="009B4300">
      <w:pPr>
        <w:pStyle w:val="Default"/>
        <w:spacing w:line="276" w:lineRule="auto"/>
        <w:contextualSpacing/>
        <w:jc w:val="both"/>
        <w:rPr>
          <w:b/>
          <w:bCs/>
          <w:color w:val="000000" w:themeColor="text1"/>
        </w:rPr>
      </w:pPr>
    </w:p>
    <w:p w:rsidR="009638B9" w:rsidRDefault="009638B9" w:rsidP="009B4300">
      <w:pPr>
        <w:pStyle w:val="Default"/>
        <w:spacing w:line="276" w:lineRule="auto"/>
        <w:contextualSpacing/>
        <w:jc w:val="both"/>
        <w:rPr>
          <w:b/>
          <w:bCs/>
          <w:color w:val="000000" w:themeColor="text1"/>
        </w:rPr>
      </w:pPr>
    </w:p>
    <w:p w:rsidR="009638B9" w:rsidRDefault="009638B9" w:rsidP="009B4300">
      <w:pPr>
        <w:pStyle w:val="Default"/>
        <w:spacing w:line="276" w:lineRule="auto"/>
        <w:contextualSpacing/>
        <w:jc w:val="both"/>
        <w:rPr>
          <w:b/>
          <w:bCs/>
          <w:color w:val="000000" w:themeColor="text1"/>
        </w:rPr>
      </w:pPr>
    </w:p>
    <w:p w:rsidR="00EE5BEC" w:rsidRDefault="00EE5BEC" w:rsidP="009B4300">
      <w:pPr>
        <w:pStyle w:val="Default"/>
        <w:spacing w:line="276" w:lineRule="auto"/>
        <w:contextualSpacing/>
        <w:jc w:val="both"/>
        <w:rPr>
          <w:b/>
          <w:bCs/>
          <w:color w:val="000000" w:themeColor="text1"/>
        </w:rPr>
      </w:pPr>
    </w:p>
    <w:p w:rsidR="00EE5BEC" w:rsidRDefault="00EE5BEC" w:rsidP="009B4300">
      <w:pPr>
        <w:pStyle w:val="Default"/>
        <w:spacing w:line="276" w:lineRule="auto"/>
        <w:contextualSpacing/>
        <w:jc w:val="both"/>
        <w:rPr>
          <w:b/>
          <w:bCs/>
          <w:color w:val="000000" w:themeColor="text1"/>
        </w:rPr>
      </w:pPr>
    </w:p>
    <w:p w:rsidR="00792080" w:rsidRDefault="00792080" w:rsidP="009B4300">
      <w:pPr>
        <w:pStyle w:val="Default"/>
        <w:spacing w:line="276" w:lineRule="auto"/>
        <w:contextualSpacing/>
        <w:jc w:val="both"/>
        <w:rPr>
          <w:b/>
          <w:bCs/>
          <w:color w:val="000000" w:themeColor="text1"/>
        </w:rPr>
      </w:pPr>
    </w:p>
    <w:p w:rsidR="00792080" w:rsidRDefault="00792080" w:rsidP="009B4300">
      <w:pPr>
        <w:pStyle w:val="Default"/>
        <w:spacing w:line="276" w:lineRule="auto"/>
        <w:contextualSpacing/>
        <w:jc w:val="both"/>
        <w:rPr>
          <w:b/>
          <w:bCs/>
          <w:color w:val="000000" w:themeColor="text1"/>
        </w:rPr>
      </w:pPr>
    </w:p>
    <w:p w:rsidR="00660D5E" w:rsidRDefault="00660D5E" w:rsidP="009B4300">
      <w:pPr>
        <w:pStyle w:val="Default"/>
        <w:spacing w:line="276" w:lineRule="auto"/>
        <w:contextualSpacing/>
        <w:jc w:val="both"/>
        <w:rPr>
          <w:b/>
          <w:bCs/>
          <w:color w:val="000000" w:themeColor="text1"/>
        </w:rPr>
      </w:pPr>
    </w:p>
    <w:p w:rsidR="00660D5E" w:rsidRDefault="00660D5E" w:rsidP="009B4300">
      <w:pPr>
        <w:pStyle w:val="Default"/>
        <w:spacing w:line="276" w:lineRule="auto"/>
        <w:contextualSpacing/>
        <w:jc w:val="both"/>
        <w:rPr>
          <w:b/>
          <w:bCs/>
          <w:color w:val="000000" w:themeColor="text1"/>
        </w:rPr>
      </w:pPr>
    </w:p>
    <w:p w:rsidR="00792080" w:rsidRDefault="00792080" w:rsidP="009B4300">
      <w:pPr>
        <w:pStyle w:val="Default"/>
        <w:spacing w:line="276" w:lineRule="auto"/>
        <w:contextualSpacing/>
        <w:jc w:val="both"/>
        <w:rPr>
          <w:b/>
          <w:bCs/>
          <w:color w:val="000000" w:themeColor="text1"/>
        </w:rPr>
      </w:pPr>
    </w:p>
    <w:p w:rsidR="006E572C" w:rsidRPr="00350FE5" w:rsidRDefault="009B4300" w:rsidP="009B4300">
      <w:pPr>
        <w:pStyle w:val="Default"/>
        <w:spacing w:line="276" w:lineRule="auto"/>
        <w:contextualSpacing/>
        <w:jc w:val="both"/>
        <w:rPr>
          <w:b/>
          <w:bCs/>
          <w:color w:val="000000" w:themeColor="text1"/>
        </w:rPr>
      </w:pPr>
      <w:r>
        <w:rPr>
          <w:b/>
          <w:bCs/>
          <w:color w:val="000000" w:themeColor="text1"/>
        </w:rPr>
        <w:t xml:space="preserve">1. </w:t>
      </w:r>
      <w:r w:rsidR="006E572C" w:rsidRPr="00350FE5">
        <w:rPr>
          <w:b/>
          <w:bCs/>
          <w:color w:val="000000" w:themeColor="text1"/>
        </w:rPr>
        <w:t>Introduction</w:t>
      </w:r>
    </w:p>
    <w:p w:rsidR="00D64ABC" w:rsidRPr="00350FE5" w:rsidRDefault="006E572C" w:rsidP="009B4300">
      <w:pPr>
        <w:spacing w:after="0" w:line="276" w:lineRule="auto"/>
        <w:jc w:val="both"/>
        <w:rPr>
          <w:rFonts w:eastAsia="Times New Roman"/>
          <w:color w:val="0E101A"/>
        </w:rPr>
      </w:pPr>
      <w:r w:rsidRPr="00350FE5">
        <w:rPr>
          <w:rFonts w:eastAsia="Times New Roman"/>
          <w:color w:val="0E101A"/>
        </w:rPr>
        <w:lastRenderedPageBreak/>
        <w:t>Bangladesh is considered a developing economy</w:t>
      </w:r>
      <w:r w:rsidRPr="00350FE5">
        <w:rPr>
          <w:rFonts w:eastAsia="Times New Roman"/>
          <w:b/>
          <w:bCs/>
          <w:color w:val="0E101A"/>
        </w:rPr>
        <w:t xml:space="preserve">; </w:t>
      </w:r>
      <w:r w:rsidRPr="00350FE5">
        <w:rPr>
          <w:rFonts w:eastAsia="Times New Roman"/>
          <w:color w:val="0E101A"/>
        </w:rPr>
        <w:t>managing its environment requires</w:t>
      </w:r>
      <w:r w:rsidRPr="00350FE5">
        <w:rPr>
          <w:rFonts w:eastAsia="Times New Roman"/>
          <w:b/>
          <w:bCs/>
          <w:color w:val="0E101A"/>
        </w:rPr>
        <w:t xml:space="preserve"> </w:t>
      </w:r>
      <w:r w:rsidRPr="00350FE5">
        <w:rPr>
          <w:rFonts w:eastAsia="Times New Roman"/>
          <w:color w:val="0E101A"/>
        </w:rPr>
        <w:t>focusing on the business fraternity, especially in the banking</w:t>
      </w:r>
      <w:r w:rsidRPr="00350FE5">
        <w:rPr>
          <w:rFonts w:eastAsia="Times New Roman"/>
          <w:b/>
          <w:bCs/>
          <w:color w:val="0E101A"/>
        </w:rPr>
        <w:t xml:space="preserve"> </w:t>
      </w:r>
      <w:r w:rsidRPr="00350FE5">
        <w:rPr>
          <w:rFonts w:eastAsia="Times New Roman"/>
          <w:color w:val="0E101A"/>
        </w:rPr>
        <w:t>sector</w:t>
      </w:r>
      <w:r w:rsidR="00183D8B" w:rsidRPr="00350FE5">
        <w:rPr>
          <w:rFonts w:eastAsia="Times New Roman"/>
          <w:color w:val="0E101A"/>
        </w:rPr>
        <w:t xml:space="preserve"> (Hossain &amp; Rana, 2024)</w:t>
      </w:r>
      <w:r w:rsidR="00465DBD" w:rsidRPr="00350FE5">
        <w:rPr>
          <w:rFonts w:eastAsia="Times New Roman"/>
          <w:b/>
          <w:bCs/>
          <w:color w:val="0E101A"/>
        </w:rPr>
        <w:t>.</w:t>
      </w:r>
      <w:r w:rsidRPr="00350FE5">
        <w:rPr>
          <w:rFonts w:eastAsia="Times New Roman"/>
          <w:color w:val="0E101A"/>
        </w:rPr>
        <w:t xml:space="preserve"> This sector needs to address ecological and social hazards linked with funding exercises</w:t>
      </w:r>
      <w:r w:rsidR="00465DBD" w:rsidRPr="00350FE5">
        <w:rPr>
          <w:rFonts w:eastAsia="Times New Roman"/>
          <w:b/>
          <w:bCs/>
          <w:color w:val="0E101A"/>
        </w:rPr>
        <w:t xml:space="preserve"> </w:t>
      </w:r>
      <w:r w:rsidR="00465DBD" w:rsidRPr="00350FE5">
        <w:rPr>
          <w:rFonts w:eastAsia="Times New Roman"/>
          <w:bCs/>
          <w:color w:val="0E101A"/>
        </w:rPr>
        <w:t>which is</w:t>
      </w:r>
      <w:r w:rsidR="00465DBD" w:rsidRPr="00350FE5">
        <w:rPr>
          <w:rFonts w:eastAsia="Times New Roman"/>
          <w:color w:val="0E101A"/>
        </w:rPr>
        <w:t xml:space="preserve"> must</w:t>
      </w:r>
      <w:r w:rsidRPr="00350FE5">
        <w:rPr>
          <w:rFonts w:eastAsia="Times New Roman"/>
          <w:bCs/>
          <w:color w:val="0E101A"/>
        </w:rPr>
        <w:t xml:space="preserve"> i</w:t>
      </w:r>
      <w:r w:rsidRPr="00350FE5">
        <w:rPr>
          <w:rFonts w:eastAsia="Times New Roman"/>
          <w:color w:val="0E101A"/>
        </w:rPr>
        <w:t>n prevailing credit rating support. Green and acceptable interferences are vital for producing future growth more endurable. Financial organizations can alter the trends of a hygienic planet to a large extent. Banks can take steps to implement a go-green strategy to inspire clients to accept hygienic know-how. This strategy expects a favorable firm that cuts costs and encourages entry to new marketplaces.</w:t>
      </w:r>
      <w:r w:rsidR="005241BF" w:rsidRPr="00350FE5">
        <w:rPr>
          <w:rFonts w:eastAsia="Times New Roman"/>
          <w:color w:val="0E101A"/>
        </w:rPr>
        <w:t xml:space="preserve"> </w:t>
      </w:r>
      <w:r w:rsidR="00465DBD" w:rsidRPr="00350FE5">
        <w:rPr>
          <w:rFonts w:eastAsia="Times New Roman"/>
          <w:color w:val="0E101A"/>
        </w:rPr>
        <w:t xml:space="preserve">All </w:t>
      </w:r>
      <w:r w:rsidRPr="00350FE5">
        <w:rPr>
          <w:rFonts w:eastAsia="Times New Roman"/>
          <w:color w:val="0E101A"/>
        </w:rPr>
        <w:t xml:space="preserve">FIs should </w:t>
      </w:r>
      <w:r w:rsidR="00D275B1" w:rsidRPr="00350FE5">
        <w:rPr>
          <w:rFonts w:eastAsia="Times New Roman"/>
          <w:color w:val="0E101A"/>
        </w:rPr>
        <w:t>manage carbon</w:t>
      </w:r>
      <w:r w:rsidRPr="00350FE5">
        <w:rPr>
          <w:rFonts w:eastAsia="Times New Roman"/>
          <w:color w:val="0E101A"/>
        </w:rPr>
        <w:t xml:space="preserve"> footprint of their customers or ventures to confirm their ultimate existence in the long run. Financial sectors back to ecological erosion via financing in several contaminant factories, so we must assume corrective measures against all wrong activities. Bangladesh Bank should force all fin</w:t>
      </w:r>
      <w:r w:rsidR="00465DBD" w:rsidRPr="00350FE5">
        <w:rPr>
          <w:rFonts w:eastAsia="Times New Roman"/>
          <w:color w:val="0E101A"/>
        </w:rPr>
        <w:t>ancial institutions to establish</w:t>
      </w:r>
      <w:r w:rsidRPr="00350FE5">
        <w:rPr>
          <w:rFonts w:eastAsia="Times New Roman"/>
          <w:color w:val="0E101A"/>
        </w:rPr>
        <w:t xml:space="preserve"> green banking guidelines to curb their environmental pollution, providing loans to atmosphere-responsive schemes. </w:t>
      </w:r>
    </w:p>
    <w:p w:rsidR="00243EB0" w:rsidRPr="00350FE5" w:rsidRDefault="009B4300" w:rsidP="009B4300">
      <w:pPr>
        <w:spacing w:after="0" w:line="276" w:lineRule="auto"/>
        <w:jc w:val="both"/>
        <w:rPr>
          <w:rFonts w:eastAsia="Times New Roman"/>
          <w:color w:val="0E101A"/>
        </w:rPr>
      </w:pPr>
      <w:r>
        <w:rPr>
          <w:rFonts w:eastAsia="Times New Roman"/>
          <w:color w:val="0E101A"/>
        </w:rPr>
        <w:t xml:space="preserve">    </w:t>
      </w:r>
      <w:r w:rsidR="006E572C" w:rsidRPr="00350FE5">
        <w:rPr>
          <w:rFonts w:eastAsia="Times New Roman"/>
          <w:color w:val="0E101A"/>
        </w:rPr>
        <w:t>The word green has a broad sense of usage, which covers the social responsibility of the planet's inhabitants, where banks are treated as corporate citizens in modern society. Go green strategy in banking activities usually plays a decisive part in implementing maintainable progress of banks and green economy. Generally, green funding refers to lending practices that substitute ecologically accountable funding and inside banking activities that minimize carbon and conservatory gas releases. Green financing is also called ecosystem-supportive, naturally welcoming, and ethical financing, which is used to stop environmental pollution and keep the only earth in the universe habitable.  Green</w:t>
      </w:r>
      <w:r w:rsidR="006E572C" w:rsidRPr="00350FE5">
        <w:rPr>
          <w:rFonts w:eastAsia="Times New Roman"/>
          <w:i/>
          <w:iCs/>
          <w:color w:val="0E101A"/>
        </w:rPr>
        <w:t xml:space="preserve"> </w:t>
      </w:r>
      <w:r w:rsidR="006E572C" w:rsidRPr="00350FE5">
        <w:rPr>
          <w:rFonts w:eastAsia="Times New Roman"/>
          <w:color w:val="0E101A"/>
        </w:rPr>
        <w:t>banking is a new concept that leads people to earn profit and save the planet without compromising on environmental pollution. Every bank should play a proactive role in going green and trying to induce b</w:t>
      </w:r>
      <w:r w:rsidR="00465DBD" w:rsidRPr="00350FE5">
        <w:rPr>
          <w:rFonts w:eastAsia="Times New Roman"/>
          <w:color w:val="0E101A"/>
        </w:rPr>
        <w:t>usinesses to move for</w:t>
      </w:r>
      <w:r w:rsidR="006E572C" w:rsidRPr="00350FE5">
        <w:rPr>
          <w:rFonts w:eastAsia="Times New Roman"/>
          <w:color w:val="0E101A"/>
        </w:rPr>
        <w:t xml:space="preserve"> environment-friendly funding and use modern technology.</w:t>
      </w:r>
    </w:p>
    <w:p w:rsidR="009B4300" w:rsidRDefault="009B4300" w:rsidP="009B4300">
      <w:pPr>
        <w:spacing w:line="276" w:lineRule="auto"/>
        <w:jc w:val="both"/>
      </w:pPr>
      <w:r>
        <w:t xml:space="preserve">    </w:t>
      </w:r>
      <w:r w:rsidR="006E572C" w:rsidRPr="00350FE5">
        <w:t>Green b</w:t>
      </w:r>
      <w:r w:rsidR="00465DBD" w:rsidRPr="00350FE5">
        <w:t>anking may come in many ways such as</w:t>
      </w:r>
      <w:r w:rsidR="006E572C" w:rsidRPr="00350FE5">
        <w:t xml:space="preserve"> providing i</w:t>
      </w:r>
      <w:r w:rsidR="00465DBD" w:rsidRPr="00350FE5">
        <w:t xml:space="preserve">nnovative green </w:t>
      </w:r>
      <w:proofErr w:type="gramStart"/>
      <w:r w:rsidR="00465DBD" w:rsidRPr="00350FE5">
        <w:t xml:space="preserve">products, </w:t>
      </w:r>
      <w:r w:rsidR="006E572C" w:rsidRPr="00350FE5">
        <w:t xml:space="preserve"> using</w:t>
      </w:r>
      <w:proofErr w:type="gramEnd"/>
      <w:r w:rsidR="006E572C" w:rsidRPr="00350FE5">
        <w:t xml:space="preserve"> </w:t>
      </w:r>
      <w:r w:rsidR="00465DBD" w:rsidRPr="00350FE5">
        <w:t xml:space="preserve">online banking activities, </w:t>
      </w:r>
      <w:r w:rsidR="005F0E1E" w:rsidRPr="00350FE5">
        <w:t>paying utility bills online,</w:t>
      </w:r>
      <w:r w:rsidR="006E572C" w:rsidRPr="00350FE5">
        <w:t xml:space="preserve"> purchasing green mortgage</w:t>
      </w:r>
      <w:r w:rsidR="005F0E1E" w:rsidRPr="00350FE5">
        <w:t xml:space="preserve">s, </w:t>
      </w:r>
      <w:r w:rsidR="006E572C" w:rsidRPr="00350FE5">
        <w:t xml:space="preserve">issuing green </w:t>
      </w:r>
      <w:r>
        <w:t xml:space="preserve">credit cards, debit cards, etc. </w:t>
      </w:r>
      <w:r w:rsidR="006E572C" w:rsidRPr="00350FE5">
        <w:t xml:space="preserve">The banking sectors of Bangladesh play a pivotal role by initiating green </w:t>
      </w:r>
      <w:r w:rsidR="006533B2" w:rsidRPr="00350FE5">
        <w:t>financi</w:t>
      </w:r>
      <w:r w:rsidR="006E572C" w:rsidRPr="00350FE5">
        <w:t>ng activities, creating a green economy, and saving the environment. Homo sapiens cannot alter the emission of gases such as carbon dioxide or the globe's trajectory near the sun. However, they can hold the inflated portion of carbonic acid gas and their influence on the climate. In the last century, carbonic acid gas engagement has grown alarmingly in the air, and human beings are liable for this. The leading reason for increased carbonic acid tiers in the air is the burning of fossil energies. Industrial activities rose rapidly from the end of the 19th century, and many plants were built. These plants demanded power, which was fulfilled through the blast of coal. Excluding coal, other power bases, such as oil and natural gas, were ignited to heat our houses, run automobiles and aircraft, and beget power supply. At present, nearly 85 million barrels of natural oil are steamed every day. Every time a fossil raw material is burned, it emits CO</w:t>
      </w:r>
      <w:r w:rsidR="006E572C" w:rsidRPr="00350FE5">
        <w:rPr>
          <w:vertAlign w:val="subscript"/>
        </w:rPr>
        <w:t>2</w:t>
      </w:r>
      <w:r w:rsidR="006E572C" w:rsidRPr="00350FE5">
        <w:t xml:space="preserve"> into the air. Thus, it is evident that human beings are causing more conservatory gases like CO</w:t>
      </w:r>
      <w:r w:rsidR="006E572C" w:rsidRPr="00350FE5">
        <w:rPr>
          <w:vertAlign w:val="subscript"/>
        </w:rPr>
        <w:t>2</w:t>
      </w:r>
      <w:r w:rsidR="006E572C" w:rsidRPr="00350FE5">
        <w:t xml:space="preserve"> worldwide. Besides, we also support the conservatory effect by intentionally unclogging forests, which implies cutting down trees. Each year, people consume massive woodland to get wood, </w:t>
      </w:r>
      <w:r w:rsidR="006E572C" w:rsidRPr="00350FE5">
        <w:lastRenderedPageBreak/>
        <w:t>make thin rooms for mining, and make habitats (</w:t>
      </w:r>
      <w:proofErr w:type="spellStart"/>
      <w:r w:rsidR="006E572C" w:rsidRPr="00350FE5">
        <w:t>Alam</w:t>
      </w:r>
      <w:proofErr w:type="spellEnd"/>
      <w:r w:rsidR="006E572C" w:rsidRPr="00350FE5">
        <w:t xml:space="preserve"> &amp; Islam, 2023; </w:t>
      </w:r>
      <w:proofErr w:type="spellStart"/>
      <w:r w:rsidR="006E572C" w:rsidRPr="00350FE5">
        <w:t>Rabiul</w:t>
      </w:r>
      <w:proofErr w:type="spellEnd"/>
      <w:r w:rsidR="006E572C" w:rsidRPr="00350FE5">
        <w:t xml:space="preserve"> Islam &amp; Hossain, 2018). This loss of woodlands causes double concerns, such as fumed-up trees emitting significant volumes of CO</w:t>
      </w:r>
      <w:r w:rsidR="006E572C" w:rsidRPr="00350FE5">
        <w:rPr>
          <w:vertAlign w:val="subscript"/>
        </w:rPr>
        <w:t>2</w:t>
      </w:r>
      <w:r w:rsidR="006E572C" w:rsidRPr="00350FE5">
        <w:t xml:space="preserve"> into the air. On the other hand, as forests absorb much CO</w:t>
      </w:r>
      <w:r w:rsidR="006E572C" w:rsidRPr="00350FE5">
        <w:rPr>
          <w:vertAlign w:val="subscript"/>
        </w:rPr>
        <w:t>2</w:t>
      </w:r>
      <w:r w:rsidR="006E572C" w:rsidRPr="00350FE5">
        <w:t xml:space="preserve"> from the air and deliver Oxygen instead, we also eliminate an essential storehouse of </w:t>
      </w:r>
      <w:r w:rsidR="00C7382D" w:rsidRPr="00350FE5">
        <w:t xml:space="preserve">Oxygen when we empty woodlands. </w:t>
      </w:r>
      <w:r w:rsidR="006E572C" w:rsidRPr="00350FE5">
        <w:t>Green fi</w:t>
      </w:r>
      <w:r w:rsidR="00C7382D" w:rsidRPr="00350FE5">
        <w:t xml:space="preserve">nancing which </w:t>
      </w:r>
      <w:r w:rsidR="006E572C" w:rsidRPr="00350FE5">
        <w:t>also called environme</w:t>
      </w:r>
      <w:r w:rsidR="00C7382D" w:rsidRPr="00350FE5">
        <w:t>nt-responsive financing</w:t>
      </w:r>
      <w:r w:rsidR="006E572C" w:rsidRPr="00350FE5">
        <w:t xml:space="preserve"> can solve this big problem.  The concept of green banking was founded in 2009 in the</w:t>
      </w:r>
      <w:r w:rsidR="00C7382D" w:rsidRPr="00350FE5">
        <w:t xml:space="preserve"> state of Florida, USA. In</w:t>
      </w:r>
      <w:r w:rsidR="006E572C" w:rsidRPr="00350FE5">
        <w:t xml:space="preserve"> 2009, Chris Van </w:t>
      </w:r>
      <w:proofErr w:type="spellStart"/>
      <w:r w:rsidR="006E572C" w:rsidRPr="00350FE5">
        <w:t>Hollen</w:t>
      </w:r>
      <w:proofErr w:type="spellEnd"/>
      <w:r w:rsidR="006E572C" w:rsidRPr="00350FE5">
        <w:t xml:space="preserve">, a congressman, introduced the "Green Bank Act" to offer financial support </w:t>
      </w:r>
      <w:r w:rsidR="00C7382D" w:rsidRPr="00350FE5">
        <w:t>increasing</w:t>
      </w:r>
      <w:r w:rsidR="006E572C" w:rsidRPr="00350FE5">
        <w:t xml:space="preserve"> energy usage efficiency and reduce carbon emissions under the ownership of the U.</w:t>
      </w:r>
      <w:r w:rsidR="0023094A" w:rsidRPr="00350FE5">
        <w:t>S. government. In May 2012 first G</w:t>
      </w:r>
      <w:r w:rsidR="006E572C" w:rsidRPr="00350FE5">
        <w:t>B's persistent a</w:t>
      </w:r>
      <w:r w:rsidR="0023094A" w:rsidRPr="00350FE5">
        <w:t xml:space="preserve">ctions </w:t>
      </w:r>
      <w:r w:rsidR="006E572C" w:rsidRPr="00350FE5">
        <w:t>was granted membership to the Global Alliance f</w:t>
      </w:r>
      <w:r w:rsidR="0023094A" w:rsidRPr="00350FE5">
        <w:t>or Banking on Values (GABV)</w:t>
      </w:r>
      <w:r w:rsidR="006E572C" w:rsidRPr="00350FE5">
        <w:t>. In the complex fi</w:t>
      </w:r>
      <w:r w:rsidR="0023094A" w:rsidRPr="00350FE5">
        <w:t>nancial environment where 1st G</w:t>
      </w:r>
      <w:r w:rsidR="006E572C" w:rsidRPr="00350FE5">
        <w:t>B opened and functioned, it attained outstanding profitability in 19 months, with current assets of about 252 milli</w:t>
      </w:r>
      <w:r>
        <w:t>on dollars as of December 2013.</w:t>
      </w:r>
    </w:p>
    <w:p w:rsidR="00EB6E0A" w:rsidRPr="00350FE5" w:rsidRDefault="009B4300" w:rsidP="009B4300">
      <w:pPr>
        <w:spacing w:line="276" w:lineRule="auto"/>
        <w:jc w:val="both"/>
      </w:pPr>
      <w:r>
        <w:t xml:space="preserve">    </w:t>
      </w:r>
      <w:r w:rsidR="006E572C" w:rsidRPr="00350FE5">
        <w:t>The world faces severe pollution problems like air, water, soil, noise, etc. And at the same time, in the name of environmental change, various types of adverse effects, such as seal level rise, global warming, biodiversity damaged, imbalanced ecosystems, non-curable diseases, mental depression, earthquakes, cyclones, floods, drought, extreme hea</w:t>
      </w:r>
      <w:r w:rsidR="0023094A" w:rsidRPr="00350FE5">
        <w:t xml:space="preserve">t wave, cold wave, corona, flu, </w:t>
      </w:r>
      <w:r w:rsidR="006E572C" w:rsidRPr="00350FE5">
        <w:t>thundering,</w:t>
      </w:r>
      <w:r w:rsidR="0023094A" w:rsidRPr="00350FE5">
        <w:t xml:space="preserve"> tide</w:t>
      </w:r>
      <w:r w:rsidR="006E572C" w:rsidRPr="00350FE5">
        <w:t xml:space="preserve"> etc. started unexpectedly. Bangladesh is not out of the mentioned adverse situation. According to </w:t>
      </w:r>
      <w:proofErr w:type="spellStart"/>
      <w:r w:rsidR="006E572C" w:rsidRPr="00350FE5">
        <w:t>Hasnat</w:t>
      </w:r>
      <w:proofErr w:type="spellEnd"/>
      <w:r w:rsidR="006E572C" w:rsidRPr="00350FE5">
        <w:t xml:space="preserve"> et al. (2018), Bangladesh might lose 15 percent of its land if the sea level increases by 1 meter and 30 million people emigrate. World Bank report (2018) published that the highest 28% of people died in 2015 because of environmental pollution-related diseases in the world. They are realizing that environmental issues have become a burning question in Bangladesh. The overall ecological situation in our country is alarming enough. Different studies have found Dhaka is one of the most densely populated megacities in the world. According to WHO reports, noise pollution occupies the third position next to air and water pollution, </w:t>
      </w:r>
      <w:proofErr w:type="spellStart"/>
      <w:r w:rsidR="006E572C" w:rsidRPr="00350FE5">
        <w:t>Hasnat</w:t>
      </w:r>
      <w:proofErr w:type="spellEnd"/>
      <w:r w:rsidR="006E572C" w:rsidRPr="00350FE5">
        <w:t xml:space="preserve"> et al. (2018). According to the World Economic Forum's Golden Report 2018, Bangladesh ranked 10th among all the world's plastic-polluting countries. Though heavy industries are responsible for these adverse effects, they should take the liabilities first</w:t>
      </w:r>
      <w:r w:rsidR="00630A22" w:rsidRPr="00350FE5">
        <w:t xml:space="preserve"> (Rana &amp; Hossain, 2023</w:t>
      </w:r>
      <w:r w:rsidR="006533B2" w:rsidRPr="00350FE5">
        <w:t>)</w:t>
      </w:r>
      <w:r w:rsidR="006E572C" w:rsidRPr="00350FE5">
        <w:t xml:space="preserve">. Now is the time to examine, evaluate, and take the correct initiatives to protect environmental pollution. Bangladesh is an emerging economy and </w:t>
      </w:r>
      <w:r w:rsidR="00651C4A" w:rsidRPr="00350FE5">
        <w:t xml:space="preserve">dreams of being an upper-middle </w:t>
      </w:r>
      <w:r w:rsidR="006E572C" w:rsidRPr="00350FE5">
        <w:t xml:space="preserve">income country </w:t>
      </w:r>
      <w:r w:rsidR="00651C4A" w:rsidRPr="00350FE5">
        <w:t>by 2030 and a high-income country</w:t>
      </w:r>
      <w:r w:rsidR="006E572C" w:rsidRPr="00350FE5">
        <w:t xml:space="preserve"> by 2041, which is only possible with sustainable banking. According to BBS reports, the contribution of banking sectors to the Bangladesh economy regarding GDP from 2017 to 2020 was 9.95%, 8.51%, 7.38%, and 4.19%, respectively, which indicates a decreasing trend. Not only that, credit conditions, classified loans, profitability, sustainability, etc., also declined over the years. However, commercial banks should invest their funds in indirect green and sustainable finance to survive in the competitive market and increase profitability. Three multifaceted approaches are involved in making our planet green: economic, environmental, and social. By addressing the following factors holistically, we can efficiently work towards going green and ensuring a sustainable, more resilient, and healthier future for the next generation. </w:t>
      </w:r>
    </w:p>
    <w:p w:rsidR="005241BF" w:rsidRDefault="009B4300" w:rsidP="009B4300">
      <w:pPr>
        <w:pStyle w:val="Default"/>
        <w:spacing w:line="276" w:lineRule="auto"/>
        <w:contextualSpacing/>
        <w:jc w:val="both"/>
      </w:pPr>
      <w:r>
        <w:lastRenderedPageBreak/>
        <w:t xml:space="preserve">    </w:t>
      </w:r>
      <w:r w:rsidR="00F04A08" w:rsidRPr="00350FE5">
        <w:t xml:space="preserve">After introducing green banking guidelines in 2011 by Bangladesh Bank a lot of research works have been conducted throughout the year. Some researchers tried to show green banking policy implementation status, some other studies tried to find out the relationship between green financing and bank profitability in private commercial banks only, and some studies find out the factors affecting sustainability performance. Julia and </w:t>
      </w:r>
      <w:proofErr w:type="spellStart"/>
      <w:r w:rsidR="00F04A08" w:rsidRPr="00350FE5">
        <w:t>Kassim</w:t>
      </w:r>
      <w:proofErr w:type="spellEnd"/>
      <w:r w:rsidR="00F04A08" w:rsidRPr="00350FE5">
        <w:t xml:space="preserve"> (2019) made a comparison between Islamic banks and conventional banks regarding green banking performance. Akhter, I., Yasmin, S., &amp; </w:t>
      </w:r>
      <w:proofErr w:type="spellStart"/>
      <w:r w:rsidR="00F04A08" w:rsidRPr="00350FE5">
        <w:t>Faria</w:t>
      </w:r>
      <w:proofErr w:type="spellEnd"/>
      <w:r w:rsidR="00F04A08" w:rsidRPr="00350FE5">
        <w:t>, N. (2021) examined 30 DSE-listed commercial banks where 90% of the banks implemented above 60% of the green banking policy guidelines in the period (2016-2018).  Still, none has attempted to depict the present situation of green financing and the impact of the selected green financing factors on bank profitability. So, the present situation demands complete research to reflect a total scenario of the status of green financing and its recent trend in Bangladesh.</w:t>
      </w:r>
    </w:p>
    <w:p w:rsidR="009B4300" w:rsidRPr="00350FE5" w:rsidRDefault="009B4300" w:rsidP="009B4300">
      <w:pPr>
        <w:pStyle w:val="Default"/>
        <w:spacing w:line="276" w:lineRule="auto"/>
        <w:contextualSpacing/>
        <w:jc w:val="both"/>
      </w:pPr>
    </w:p>
    <w:p w:rsidR="008E4A7B" w:rsidRPr="00350FE5" w:rsidRDefault="008E4A7B" w:rsidP="009B4300">
      <w:pPr>
        <w:pStyle w:val="Default"/>
        <w:spacing w:line="276" w:lineRule="auto"/>
        <w:contextualSpacing/>
        <w:jc w:val="both"/>
        <w:rPr>
          <w:b/>
          <w:bCs/>
          <w:color w:val="000000" w:themeColor="text1"/>
        </w:rPr>
      </w:pPr>
      <w:r w:rsidRPr="00350FE5">
        <w:rPr>
          <w:b/>
          <w:bCs/>
          <w:color w:val="000000" w:themeColor="text1"/>
        </w:rPr>
        <w:t>Present Status of Green Financing: Bangladesh Context</w:t>
      </w:r>
    </w:p>
    <w:p w:rsidR="008E4A7B" w:rsidRPr="00350FE5" w:rsidRDefault="008E4A7B" w:rsidP="009B4300">
      <w:pPr>
        <w:pStyle w:val="Default"/>
        <w:spacing w:line="276" w:lineRule="auto"/>
        <w:contextualSpacing/>
        <w:jc w:val="both"/>
        <w:rPr>
          <w:color w:val="000000" w:themeColor="text1"/>
        </w:rPr>
      </w:pPr>
      <w:r w:rsidRPr="00350FE5">
        <w:rPr>
          <w:color w:val="000000" w:themeColor="text1"/>
        </w:rPr>
        <w:t>Bangladesh is a low-lying country on the Ganges-Brahmaputra Delta, and about 75% of its territory lies less than 10 meters above sea level. The geographical location, dense population, climate vulnerability, and riverine landscape are the characteristics that make a strong case for green financing to support sustainable development. Mainstreaming green financing in renewable energy and climate-resilient is thus a significant policy challenge for Bangladesh. The GDP growth of over 6% in the last decades has accelerated the energy demand in Bangladesh. According to (IEA, 2015), at present, the primary source of energy is natural gas (56%), then biofuels (24%), crude oil (13%), coal (6%), and renewable energy (1%). The Bangladesh government has set 10% of the total power demand from renewable energy sources by 2020. The government also explores other energy sources such as renewable energy technology, nuclear power, solar, hydro, etc. The solar home system project is one of them, providing about 20 million people with access to solar electricity. Thus, it is essential to identify the policy barriers and find alternative solutions for green financing to ensure sustainable and reliable energy sources for Bangladesh. For the information, Bangladesh has already adopted some green financing projects, and Bangladesh Bank has declared some guidelines for banks and non-bank financial institutions to follow. There is a need to develop green financing instruments such as green investment trust funds, green loans, and green bonds. This study aims to investigate green financing in renewable energy sectors, its impact, and future trends. As commercial banks are reluctant to invest in green projects due to risks and return on investment, the government has established two flagship green funds:</w:t>
      </w:r>
    </w:p>
    <w:p w:rsidR="008E4A7B" w:rsidRPr="00350FE5" w:rsidRDefault="008E4A7B" w:rsidP="009B4300">
      <w:pPr>
        <w:pStyle w:val="Default"/>
        <w:spacing w:line="276" w:lineRule="auto"/>
        <w:contextualSpacing/>
        <w:jc w:val="both"/>
        <w:rPr>
          <w:color w:val="000000" w:themeColor="text1"/>
        </w:rPr>
      </w:pPr>
      <w:proofErr w:type="spellStart"/>
      <w:r w:rsidRPr="00350FE5">
        <w:rPr>
          <w:color w:val="000000" w:themeColor="text1"/>
        </w:rPr>
        <w:t>i</w:t>
      </w:r>
      <w:proofErr w:type="spellEnd"/>
      <w:r w:rsidRPr="00350FE5">
        <w:rPr>
          <w:color w:val="000000" w:themeColor="text1"/>
        </w:rPr>
        <w:t>) Bangladesh Climate Change Trust Fund and</w:t>
      </w:r>
    </w:p>
    <w:p w:rsidR="00660D5E" w:rsidRPr="00350FE5" w:rsidRDefault="008E4A7B" w:rsidP="009B4300">
      <w:pPr>
        <w:pStyle w:val="Default"/>
        <w:spacing w:line="276" w:lineRule="auto"/>
        <w:contextualSpacing/>
        <w:jc w:val="both"/>
        <w:rPr>
          <w:color w:val="000000" w:themeColor="text1"/>
        </w:rPr>
      </w:pPr>
      <w:r w:rsidRPr="00350FE5">
        <w:rPr>
          <w:color w:val="000000" w:themeColor="text1"/>
        </w:rPr>
        <w:t xml:space="preserve">ii) Bangladesh Climate Change Resilience Fund, which are now the primary sources of green finance in our country. The initial allocation was tk.700 crore in 2010, but this trend has declined. Bangladesh Bank prepared a policy guideline for green banking to form a climate risk fund. It directed the banks to allocate at least 10% of their corporate social responsibility budget by providing direct grants or a reduced interest rate. They also instructed the banks and other financial institutions to provide green finance for </w:t>
      </w:r>
      <w:r w:rsidRPr="00350FE5">
        <w:rPr>
          <w:color w:val="000000" w:themeColor="text1"/>
        </w:rPr>
        <w:lastRenderedPageBreak/>
        <w:t>specific green projects in 2016. The recent green product lists are attached in Appendix A. So far, all commercial banks have formed their green banking policy, green banking high-level committee, green banking unit, and green financing initiatives etc. Almost all banks follow and maintain the BB reporting structure and submit it quarterly basis.</w:t>
      </w:r>
    </w:p>
    <w:p w:rsidR="00C92F67" w:rsidRPr="00350FE5" w:rsidRDefault="00C92F67" w:rsidP="009B4300">
      <w:pPr>
        <w:pStyle w:val="Default"/>
        <w:spacing w:line="276" w:lineRule="auto"/>
        <w:contextualSpacing/>
        <w:jc w:val="both"/>
        <w:rPr>
          <w:b/>
          <w:color w:val="000000" w:themeColor="text1"/>
        </w:rPr>
      </w:pPr>
    </w:p>
    <w:p w:rsidR="006E572C" w:rsidRPr="00350FE5" w:rsidRDefault="009B4300" w:rsidP="009B4300">
      <w:pPr>
        <w:pStyle w:val="Default"/>
        <w:spacing w:line="276" w:lineRule="auto"/>
        <w:contextualSpacing/>
        <w:jc w:val="both"/>
        <w:rPr>
          <w:b/>
          <w:color w:val="000000" w:themeColor="text1"/>
        </w:rPr>
      </w:pPr>
      <w:r>
        <w:rPr>
          <w:b/>
          <w:color w:val="000000" w:themeColor="text1"/>
        </w:rPr>
        <w:t xml:space="preserve">2. </w:t>
      </w:r>
      <w:r w:rsidR="006E572C" w:rsidRPr="00350FE5">
        <w:rPr>
          <w:b/>
          <w:color w:val="000000" w:themeColor="text1"/>
        </w:rPr>
        <w:t>Review of Literature</w:t>
      </w:r>
    </w:p>
    <w:p w:rsidR="001A36D8" w:rsidRDefault="00C92F67" w:rsidP="009B4300">
      <w:pPr>
        <w:pStyle w:val="Default"/>
        <w:spacing w:line="276" w:lineRule="auto"/>
        <w:contextualSpacing/>
        <w:jc w:val="both"/>
        <w:rPr>
          <w:color w:val="000000" w:themeColor="text1"/>
        </w:rPr>
      </w:pPr>
      <w:r w:rsidRPr="00350FE5">
        <w:rPr>
          <w:color w:val="000000" w:themeColor="text1"/>
        </w:rPr>
        <w:t xml:space="preserve">The study reviewed several related prior research to check the relationship </w:t>
      </w:r>
      <w:r w:rsidR="00316215" w:rsidRPr="00350FE5">
        <w:rPr>
          <w:color w:val="000000" w:themeColor="text1"/>
        </w:rPr>
        <w:t>between green</w:t>
      </w:r>
      <w:r w:rsidRPr="00350FE5">
        <w:rPr>
          <w:color w:val="000000" w:themeColor="text1"/>
        </w:rPr>
        <w:t xml:space="preserve"> financing and sustainability of banks in</w:t>
      </w:r>
      <w:r w:rsidR="00316215" w:rsidRPr="00350FE5">
        <w:rPr>
          <w:color w:val="000000" w:themeColor="text1"/>
        </w:rPr>
        <w:t xml:space="preserve"> </w:t>
      </w:r>
      <w:r w:rsidRPr="00350FE5">
        <w:rPr>
          <w:color w:val="000000" w:themeColor="text1"/>
        </w:rPr>
        <w:t xml:space="preserve">Bangladesh. </w:t>
      </w:r>
      <w:r w:rsidR="00316215" w:rsidRPr="00350FE5">
        <w:rPr>
          <w:color w:val="000000" w:themeColor="text1"/>
        </w:rPr>
        <w:t>Some literature showed private commercial banks status some examined state owned banks scenario regarding green banking development. A good number of authors found positive impact on sustainable performance at the same time they proved a negative connection on bank performance.</w:t>
      </w:r>
      <w:r w:rsidR="003A3C41" w:rsidRPr="00350FE5">
        <w:rPr>
          <w:color w:val="000000" w:themeColor="text1"/>
        </w:rPr>
        <w:t xml:space="preserve"> The relationship between green financing and sustainability is still new concept in Bangladesh perspective. </w:t>
      </w:r>
    </w:p>
    <w:p w:rsidR="009B4300" w:rsidRDefault="009B4300" w:rsidP="009B4300">
      <w:pPr>
        <w:pStyle w:val="Default"/>
        <w:spacing w:line="276" w:lineRule="auto"/>
        <w:contextualSpacing/>
        <w:jc w:val="both"/>
        <w:rPr>
          <w:color w:val="000000" w:themeColor="text1"/>
        </w:rPr>
      </w:pPr>
      <w:r>
        <w:rPr>
          <w:color w:val="222222"/>
          <w:shd w:val="clear" w:color="auto" w:fill="FFFFFF"/>
        </w:rPr>
        <w:t xml:space="preserve">    </w:t>
      </w:r>
      <w:proofErr w:type="spellStart"/>
      <w:r w:rsidR="006F2391" w:rsidRPr="006F2391">
        <w:rPr>
          <w:color w:val="222222"/>
          <w:shd w:val="clear" w:color="auto" w:fill="FFFFFF"/>
        </w:rPr>
        <w:t>Akther</w:t>
      </w:r>
      <w:proofErr w:type="spellEnd"/>
      <w:r w:rsidR="006F2391" w:rsidRPr="006F2391">
        <w:rPr>
          <w:color w:val="222222"/>
          <w:shd w:val="clear" w:color="auto" w:fill="FFFFFF"/>
        </w:rPr>
        <w:t>, S., &amp; Tariq, J. (2021), used Nudge Theory and examined the impact of banks’ inventiveness on monetary behavior of customers in Bangladesh.</w:t>
      </w:r>
      <w:r w:rsidR="006F2391" w:rsidRPr="00350FE5">
        <w:rPr>
          <w:color w:val="000000" w:themeColor="text1"/>
        </w:rPr>
        <w:t xml:space="preserve"> </w:t>
      </w:r>
    </w:p>
    <w:p w:rsidR="001A36D8" w:rsidRDefault="009B4300" w:rsidP="009B4300">
      <w:pPr>
        <w:pStyle w:val="Default"/>
        <w:spacing w:line="276" w:lineRule="auto"/>
        <w:contextualSpacing/>
        <w:jc w:val="both"/>
        <w:rPr>
          <w:color w:val="000000" w:themeColor="text1"/>
        </w:rPr>
      </w:pPr>
      <w:r>
        <w:rPr>
          <w:color w:val="000000" w:themeColor="text1"/>
        </w:rPr>
        <w:t xml:space="preserve">    </w:t>
      </w:r>
      <w:r w:rsidR="003A3C41" w:rsidRPr="00350FE5">
        <w:rPr>
          <w:color w:val="000000" w:themeColor="text1"/>
        </w:rPr>
        <w:t>According to Zheng et al., (2022)</w:t>
      </w:r>
      <w:r w:rsidR="00B90EB6" w:rsidRPr="00350FE5">
        <w:rPr>
          <w:color w:val="000000" w:themeColor="text1"/>
        </w:rPr>
        <w:t>,</w:t>
      </w:r>
      <w:r w:rsidR="003A3C41" w:rsidRPr="00350FE5">
        <w:rPr>
          <w:color w:val="000000" w:themeColor="text1"/>
        </w:rPr>
        <w:t xml:space="preserve"> there is a negative correlation between green </w:t>
      </w:r>
      <w:r w:rsidR="00B90EB6" w:rsidRPr="00350FE5">
        <w:rPr>
          <w:color w:val="000000" w:themeColor="text1"/>
        </w:rPr>
        <w:t>financing</w:t>
      </w:r>
      <w:r w:rsidR="003A3C41" w:rsidRPr="00350FE5">
        <w:rPr>
          <w:color w:val="000000" w:themeColor="text1"/>
        </w:rPr>
        <w:t xml:space="preserve"> and </w:t>
      </w:r>
      <w:r w:rsidR="00B90EB6" w:rsidRPr="00350FE5">
        <w:rPr>
          <w:color w:val="000000" w:themeColor="text1"/>
        </w:rPr>
        <w:t xml:space="preserve">urban haze pollution. They also found green finance increased environment quality with modern technology. </w:t>
      </w:r>
    </w:p>
    <w:p w:rsidR="001A36D8" w:rsidRDefault="009B4300" w:rsidP="009B4300">
      <w:pPr>
        <w:pStyle w:val="Default"/>
        <w:spacing w:line="276" w:lineRule="auto"/>
        <w:contextualSpacing/>
        <w:jc w:val="both"/>
        <w:rPr>
          <w:color w:val="000000" w:themeColor="text1"/>
        </w:rPr>
      </w:pPr>
      <w:r>
        <w:rPr>
          <w:color w:val="000000" w:themeColor="text1"/>
        </w:rPr>
        <w:t xml:space="preserve">    </w:t>
      </w:r>
      <w:r w:rsidR="00B90EB6" w:rsidRPr="00350FE5">
        <w:rPr>
          <w:color w:val="000000" w:themeColor="text1"/>
        </w:rPr>
        <w:t xml:space="preserve">Fang and Shao (2022), investigated the influence of green finance on green technology innovation and found a positive significant correlation between command, control, environment regulation and green technology innovation a positive correlation between market incentives, environment regulation and green technology. Hasan et al. (2020), </w:t>
      </w:r>
      <w:r w:rsidR="00F11EFB" w:rsidRPr="00350FE5">
        <w:rPr>
          <w:color w:val="000000" w:themeColor="text1"/>
        </w:rPr>
        <w:t>identified the</w:t>
      </w:r>
      <w:r w:rsidR="00B90EB6" w:rsidRPr="00350FE5">
        <w:rPr>
          <w:color w:val="000000" w:themeColor="text1"/>
        </w:rPr>
        <w:t xml:space="preserve"> green cost, size of bank, and risk management positively affect ROA, ROE, and MV in Bangladesh. They </w:t>
      </w:r>
      <w:r w:rsidR="00F11EFB" w:rsidRPr="00350FE5">
        <w:rPr>
          <w:color w:val="000000" w:themeColor="text1"/>
        </w:rPr>
        <w:t>proved o</w:t>
      </w:r>
      <w:r w:rsidR="00B90EB6" w:rsidRPr="00350FE5">
        <w:rPr>
          <w:color w:val="000000" w:themeColor="text1"/>
        </w:rPr>
        <w:t>perating cost negatively affects ROA, ROE, and MV</w:t>
      </w:r>
      <w:r w:rsidR="00F11EFB" w:rsidRPr="00350FE5">
        <w:rPr>
          <w:color w:val="000000" w:themeColor="text1"/>
        </w:rPr>
        <w:t xml:space="preserve"> also.</w:t>
      </w:r>
    </w:p>
    <w:p w:rsidR="001A36D8" w:rsidRDefault="00F11EFB" w:rsidP="009B4300">
      <w:pPr>
        <w:pStyle w:val="Default"/>
        <w:spacing w:line="276" w:lineRule="auto"/>
        <w:contextualSpacing/>
        <w:jc w:val="both"/>
      </w:pPr>
      <w:r w:rsidRPr="00350FE5">
        <w:rPr>
          <w:color w:val="000000" w:themeColor="text1"/>
        </w:rPr>
        <w:t xml:space="preserve"> </w:t>
      </w:r>
      <w:r w:rsidR="009B4300">
        <w:rPr>
          <w:color w:val="000000" w:themeColor="text1"/>
        </w:rPr>
        <w:t xml:space="preserve">    </w:t>
      </w:r>
      <w:proofErr w:type="spellStart"/>
      <w:r w:rsidRPr="00350FE5">
        <w:rPr>
          <w:color w:val="000000" w:themeColor="text1"/>
        </w:rPr>
        <w:t>Jatana</w:t>
      </w:r>
      <w:proofErr w:type="spellEnd"/>
      <w:r w:rsidRPr="00350FE5">
        <w:rPr>
          <w:color w:val="000000" w:themeColor="text1"/>
        </w:rPr>
        <w:t>, R., &amp; Jain, H. (2020), investigated the effect of GB on bank performance in India and proved a positive correlation between performance and total card transactions, total retail electronic clearing, and RTGS.</w:t>
      </w:r>
      <w:r w:rsidRPr="00350FE5">
        <w:t xml:space="preserve"> </w:t>
      </w:r>
    </w:p>
    <w:p w:rsidR="001A36D8" w:rsidRDefault="009B4300" w:rsidP="009B4300">
      <w:pPr>
        <w:pStyle w:val="Default"/>
        <w:spacing w:line="276" w:lineRule="auto"/>
        <w:contextualSpacing/>
        <w:jc w:val="both"/>
        <w:rPr>
          <w:color w:val="000000" w:themeColor="text1"/>
        </w:rPr>
      </w:pPr>
      <w:r>
        <w:t xml:space="preserve">    </w:t>
      </w:r>
      <w:r w:rsidR="00F11EFB" w:rsidRPr="00350FE5">
        <w:t xml:space="preserve">Akhter, I., Yasmin, S., &amp; </w:t>
      </w:r>
      <w:proofErr w:type="spellStart"/>
      <w:r w:rsidR="00F11EFB" w:rsidRPr="00350FE5">
        <w:t>Faria</w:t>
      </w:r>
      <w:proofErr w:type="spellEnd"/>
      <w:r w:rsidR="00F11EFB" w:rsidRPr="00350FE5">
        <w:t>, N. (2021),</w:t>
      </w:r>
      <w:r w:rsidR="00F11EFB" w:rsidRPr="00350FE5">
        <w:rPr>
          <w:color w:val="000000" w:themeColor="text1"/>
        </w:rPr>
        <w:t xml:space="preserve"> examined the status of green banking policy guidelines and explore the effect of GB on financial performance of banks. Karim, R. (2020), examined the status of adopting GB practices by banks and found t</w:t>
      </w:r>
      <w:r w:rsidR="00F11EFB" w:rsidRPr="00350FE5">
        <w:t>he entire green investment is an upward trend.</w:t>
      </w:r>
      <w:r w:rsidR="00F11EFB" w:rsidRPr="00350FE5">
        <w:rPr>
          <w:color w:val="000000" w:themeColor="text1"/>
        </w:rPr>
        <w:t xml:space="preserve"> </w:t>
      </w:r>
    </w:p>
    <w:p w:rsidR="00247F22" w:rsidRDefault="009B4300" w:rsidP="009B4300">
      <w:pPr>
        <w:pStyle w:val="Default"/>
        <w:spacing w:line="276" w:lineRule="auto"/>
        <w:contextualSpacing/>
        <w:jc w:val="both"/>
        <w:rPr>
          <w:color w:val="000000" w:themeColor="text1"/>
        </w:rPr>
      </w:pPr>
      <w:r>
        <w:rPr>
          <w:color w:val="000000" w:themeColor="text1"/>
        </w:rPr>
        <w:t xml:space="preserve">    </w:t>
      </w:r>
      <w:r w:rsidR="00F11EFB" w:rsidRPr="00350FE5">
        <w:rPr>
          <w:color w:val="000000" w:themeColor="text1"/>
        </w:rPr>
        <w:t xml:space="preserve">Sharma, M., &amp; Choubey, A. (2021), developed a conceptual model in GB initiatives. </w:t>
      </w:r>
      <w:r w:rsidR="00613BB7" w:rsidRPr="00350FE5">
        <w:rPr>
          <w:color w:val="000000" w:themeColor="text1"/>
        </w:rPr>
        <w:t>They showed three</w:t>
      </w:r>
      <w:r w:rsidR="00F11EFB" w:rsidRPr="00350FE5">
        <w:rPr>
          <w:color w:val="000000" w:themeColor="text1"/>
        </w:rPr>
        <w:t xml:space="preserve"> green banking indi</w:t>
      </w:r>
      <w:r w:rsidR="00613BB7" w:rsidRPr="00350FE5">
        <w:rPr>
          <w:color w:val="000000" w:themeColor="text1"/>
        </w:rPr>
        <w:t>cators' impact on two</w:t>
      </w:r>
      <w:r w:rsidR="00F11EFB" w:rsidRPr="00350FE5">
        <w:rPr>
          <w:color w:val="000000" w:themeColor="text1"/>
        </w:rPr>
        <w:t xml:space="preserve"> possible outcomes</w:t>
      </w:r>
      <w:r w:rsidR="00613BB7" w:rsidRPr="00350FE5">
        <w:rPr>
          <w:color w:val="000000" w:themeColor="text1"/>
        </w:rPr>
        <w:t>.</w:t>
      </w:r>
    </w:p>
    <w:p w:rsidR="001A36D8" w:rsidRDefault="00247F22" w:rsidP="009B4300">
      <w:pPr>
        <w:pStyle w:val="Default"/>
        <w:spacing w:line="276" w:lineRule="auto"/>
        <w:contextualSpacing/>
        <w:jc w:val="both"/>
        <w:rPr>
          <w:color w:val="000000" w:themeColor="text1"/>
        </w:rPr>
      </w:pPr>
      <w:r>
        <w:rPr>
          <w:color w:val="000000" w:themeColor="text1"/>
        </w:rPr>
        <w:t xml:space="preserve">    </w:t>
      </w:r>
      <w:r w:rsidR="00613BB7" w:rsidRPr="00350FE5">
        <w:rPr>
          <w:color w:val="000000" w:themeColor="text1"/>
        </w:rPr>
        <w:t xml:space="preserve"> </w:t>
      </w:r>
      <w:proofErr w:type="spellStart"/>
      <w:r w:rsidR="00613BB7" w:rsidRPr="00350FE5">
        <w:rPr>
          <w:color w:val="000000" w:themeColor="text1"/>
        </w:rPr>
        <w:t>Guang</w:t>
      </w:r>
      <w:proofErr w:type="spellEnd"/>
      <w:r w:rsidR="00613BB7" w:rsidRPr="00350FE5">
        <w:rPr>
          <w:color w:val="000000" w:themeColor="text1"/>
        </w:rPr>
        <w:t xml:space="preserve">-Wen &amp; </w:t>
      </w:r>
      <w:proofErr w:type="spellStart"/>
      <w:r w:rsidR="00613BB7" w:rsidRPr="00350FE5">
        <w:rPr>
          <w:color w:val="000000" w:themeColor="text1"/>
        </w:rPr>
        <w:t>Siddik</w:t>
      </w:r>
      <w:proofErr w:type="spellEnd"/>
      <w:r w:rsidR="00613BB7" w:rsidRPr="00350FE5">
        <w:rPr>
          <w:color w:val="000000" w:themeColor="text1"/>
        </w:rPr>
        <w:t xml:space="preserve"> (2022), examined economic, social, environmental, and CSR practices positively and significantly affect the environmental performance of PCBs in Bangladesh.</w:t>
      </w:r>
    </w:p>
    <w:p w:rsidR="00A561B0" w:rsidRPr="00A561B0" w:rsidRDefault="00613BB7" w:rsidP="009B4300">
      <w:pPr>
        <w:pStyle w:val="Default"/>
        <w:spacing w:line="276" w:lineRule="auto"/>
        <w:contextualSpacing/>
        <w:jc w:val="both"/>
        <w:rPr>
          <w:color w:val="000000" w:themeColor="text1"/>
        </w:rPr>
      </w:pPr>
      <w:r w:rsidRPr="00350FE5">
        <w:rPr>
          <w:color w:val="000000" w:themeColor="text1"/>
        </w:rPr>
        <w:t xml:space="preserve"> </w:t>
      </w:r>
      <w:r w:rsidR="00247F22">
        <w:rPr>
          <w:color w:val="000000" w:themeColor="text1"/>
        </w:rPr>
        <w:t xml:space="preserve">    </w:t>
      </w:r>
      <w:r w:rsidR="00A561B0" w:rsidRPr="00A561B0">
        <w:t xml:space="preserve">Islam, M. A., </w:t>
      </w:r>
      <w:proofErr w:type="spellStart"/>
      <w:r w:rsidR="00A561B0" w:rsidRPr="00A561B0">
        <w:t>Avi</w:t>
      </w:r>
      <w:proofErr w:type="spellEnd"/>
      <w:r w:rsidR="00A561B0" w:rsidRPr="00A561B0">
        <w:t xml:space="preserve">, M. R., &amp; </w:t>
      </w:r>
      <w:proofErr w:type="spellStart"/>
      <w:r w:rsidR="00A561B0" w:rsidRPr="00A561B0">
        <w:t>Ashanuzzaman</w:t>
      </w:r>
      <w:proofErr w:type="spellEnd"/>
      <w:r w:rsidR="00A561B0" w:rsidRPr="00A561B0">
        <w:t xml:space="preserve">, M. (2022), identified aforementioned liquidity ratio of </w:t>
      </w:r>
      <w:proofErr w:type="gramStart"/>
      <w:r w:rsidR="00A561B0" w:rsidRPr="00A561B0">
        <w:t>banks’</w:t>
      </w:r>
      <w:proofErr w:type="gramEnd"/>
      <w:r w:rsidR="00A561B0" w:rsidRPr="00A561B0">
        <w:t xml:space="preserve"> would escalate the ROA in terms of profitability in Bangladesh.</w:t>
      </w:r>
    </w:p>
    <w:p w:rsidR="001A36D8" w:rsidRDefault="00247F22" w:rsidP="009B4300">
      <w:pPr>
        <w:pStyle w:val="Default"/>
        <w:spacing w:line="276" w:lineRule="auto"/>
        <w:contextualSpacing/>
        <w:jc w:val="both"/>
        <w:rPr>
          <w:color w:val="000000" w:themeColor="text1"/>
        </w:rPr>
      </w:pPr>
      <w:r>
        <w:rPr>
          <w:color w:val="000000" w:themeColor="text1"/>
        </w:rPr>
        <w:t xml:space="preserve">    </w:t>
      </w:r>
      <w:r w:rsidR="00613BB7" w:rsidRPr="00350FE5">
        <w:rPr>
          <w:color w:val="000000" w:themeColor="text1"/>
        </w:rPr>
        <w:t>Zheng et al (2021a), investigate</w:t>
      </w:r>
      <w:r w:rsidR="00A561B0">
        <w:rPr>
          <w:color w:val="000000" w:themeColor="text1"/>
        </w:rPr>
        <w:t>d</w:t>
      </w:r>
      <w:r w:rsidR="00613BB7" w:rsidRPr="00350FE5">
        <w:rPr>
          <w:color w:val="000000" w:themeColor="text1"/>
        </w:rPr>
        <w:t xml:space="preserve"> the mediating role of green finance on corporate sustainability performance of FIs in Bangladesh and found the economic dimension has positive and significant impact on the sust</w:t>
      </w:r>
      <w:r w:rsidR="00411437" w:rsidRPr="00350FE5">
        <w:rPr>
          <w:color w:val="000000" w:themeColor="text1"/>
        </w:rPr>
        <w:t>ainability performance of PCBs, t</w:t>
      </w:r>
      <w:r w:rsidR="00613BB7" w:rsidRPr="00350FE5">
        <w:rPr>
          <w:color w:val="000000" w:themeColor="text1"/>
        </w:rPr>
        <w:t>he social dimensions positively and significantly impact on sust</w:t>
      </w:r>
      <w:r w:rsidR="00411437" w:rsidRPr="00350FE5">
        <w:rPr>
          <w:color w:val="000000" w:themeColor="text1"/>
        </w:rPr>
        <w:t xml:space="preserve">ainability performance of PCBs </w:t>
      </w:r>
      <w:r w:rsidR="00411437" w:rsidRPr="00350FE5">
        <w:rPr>
          <w:color w:val="000000" w:themeColor="text1"/>
        </w:rPr>
        <w:lastRenderedPageBreak/>
        <w:t>and t</w:t>
      </w:r>
      <w:r w:rsidR="00613BB7" w:rsidRPr="00350FE5">
        <w:rPr>
          <w:color w:val="000000" w:themeColor="text1"/>
        </w:rPr>
        <w:t xml:space="preserve">he environmental dimension </w:t>
      </w:r>
      <w:r w:rsidR="00411437" w:rsidRPr="00350FE5">
        <w:rPr>
          <w:color w:val="000000" w:themeColor="text1"/>
        </w:rPr>
        <w:t>have positive</w:t>
      </w:r>
      <w:r w:rsidR="00613BB7" w:rsidRPr="00350FE5">
        <w:rPr>
          <w:color w:val="000000" w:themeColor="text1"/>
        </w:rPr>
        <w:t xml:space="preserve"> and significant impact on the sustainability performance of PCBs.</w:t>
      </w:r>
      <w:r w:rsidR="00411437" w:rsidRPr="00350FE5">
        <w:rPr>
          <w:color w:val="000000" w:themeColor="text1"/>
        </w:rPr>
        <w:t xml:space="preserve"> </w:t>
      </w:r>
    </w:p>
    <w:p w:rsidR="00D06137" w:rsidRDefault="00247F22" w:rsidP="009B4300">
      <w:pPr>
        <w:pStyle w:val="Default"/>
        <w:spacing w:line="276" w:lineRule="auto"/>
        <w:contextualSpacing/>
        <w:jc w:val="both"/>
        <w:rPr>
          <w:color w:val="000000" w:themeColor="text1"/>
        </w:rPr>
      </w:pPr>
      <w:r>
        <w:rPr>
          <w:color w:val="000000" w:themeColor="text1"/>
        </w:rPr>
        <w:t xml:space="preserve">    </w:t>
      </w:r>
      <w:r w:rsidR="00411437" w:rsidRPr="00350FE5">
        <w:rPr>
          <w:color w:val="000000" w:themeColor="text1"/>
        </w:rPr>
        <w:t>Zheng et al (2021b), examined the bankers’ perceptions of GF development of PCBs in Bangladesh.</w:t>
      </w:r>
    </w:p>
    <w:p w:rsidR="001A36D8" w:rsidRPr="00D06137" w:rsidRDefault="00247F22" w:rsidP="009B4300">
      <w:pPr>
        <w:pStyle w:val="Default"/>
        <w:spacing w:line="276" w:lineRule="auto"/>
        <w:contextualSpacing/>
        <w:jc w:val="both"/>
      </w:pPr>
      <w:r>
        <w:rPr>
          <w:color w:val="222222"/>
          <w:shd w:val="clear" w:color="auto" w:fill="FFFFFF"/>
        </w:rPr>
        <w:t xml:space="preserve">    </w:t>
      </w:r>
      <w:r w:rsidR="00D06137" w:rsidRPr="00D06137">
        <w:rPr>
          <w:color w:val="222222"/>
          <w:shd w:val="clear" w:color="auto" w:fill="FFFFFF"/>
        </w:rPr>
        <w:t xml:space="preserve">Islam, M. S., </w:t>
      </w:r>
      <w:proofErr w:type="spellStart"/>
      <w:r w:rsidR="00D06137" w:rsidRPr="00D06137">
        <w:rPr>
          <w:color w:val="222222"/>
          <w:shd w:val="clear" w:color="auto" w:fill="FFFFFF"/>
        </w:rPr>
        <w:t>Faruque</w:t>
      </w:r>
      <w:proofErr w:type="spellEnd"/>
      <w:r w:rsidR="00D06137" w:rsidRPr="00D06137">
        <w:rPr>
          <w:color w:val="222222"/>
          <w:shd w:val="clear" w:color="auto" w:fill="FFFFFF"/>
        </w:rPr>
        <w:t>, O., &amp; Ahmed, Z. (2021),</w:t>
      </w:r>
      <w:r w:rsidR="00411437" w:rsidRPr="00D06137">
        <w:t xml:space="preserve"> </w:t>
      </w:r>
      <w:r w:rsidR="00D06137">
        <w:t>proved there is a long-run equilibrium relationship among IT, FD and growth of economy in Bangladesh.</w:t>
      </w:r>
    </w:p>
    <w:p w:rsidR="001A36D8" w:rsidRDefault="00247F22" w:rsidP="009B4300">
      <w:pPr>
        <w:pStyle w:val="Default"/>
        <w:spacing w:line="276" w:lineRule="auto"/>
        <w:contextualSpacing/>
        <w:jc w:val="both"/>
      </w:pPr>
      <w:r>
        <w:t xml:space="preserve">    </w:t>
      </w:r>
      <w:proofErr w:type="gramStart"/>
      <w:r w:rsidR="00411437" w:rsidRPr="00350FE5">
        <w:t>Khatun,  M.</w:t>
      </w:r>
      <w:proofErr w:type="gramEnd"/>
      <w:r w:rsidR="00411437" w:rsidRPr="00350FE5">
        <w:t xml:space="preserve"> N., </w:t>
      </w:r>
      <w:proofErr w:type="spellStart"/>
      <w:r w:rsidR="00411437" w:rsidRPr="00350FE5">
        <w:t>Sarker</w:t>
      </w:r>
      <w:proofErr w:type="spellEnd"/>
      <w:r w:rsidR="00411437" w:rsidRPr="00350FE5">
        <w:t>, M. N. I., &amp; Mitra, S. (2021),</w:t>
      </w:r>
      <w:r w:rsidR="00411437" w:rsidRPr="00350FE5">
        <w:rPr>
          <w:color w:val="000000" w:themeColor="text1"/>
        </w:rPr>
        <w:t xml:space="preserve"> explored the  pattern adopted by green banking activities in Bangladesh and found most of the PCBs and FCBs adopted green banking </w:t>
      </w:r>
      <w:proofErr w:type="spellStart"/>
      <w:r w:rsidR="00411437" w:rsidRPr="00350FE5">
        <w:rPr>
          <w:color w:val="000000" w:themeColor="text1"/>
        </w:rPr>
        <w:t>policies.PCBs</w:t>
      </w:r>
      <w:proofErr w:type="spellEnd"/>
      <w:r w:rsidR="00411437" w:rsidRPr="00350FE5">
        <w:rPr>
          <w:color w:val="000000" w:themeColor="text1"/>
        </w:rPr>
        <w:t xml:space="preserve"> disbursed the highest loans to environmentally convenient projects followed by FCBs and SOCBs.</w:t>
      </w:r>
      <w:r w:rsidR="00411437" w:rsidRPr="00350FE5">
        <w:t xml:space="preserve"> </w:t>
      </w:r>
    </w:p>
    <w:p w:rsidR="001A36D8" w:rsidRDefault="00247F22" w:rsidP="009B4300">
      <w:pPr>
        <w:pStyle w:val="Default"/>
        <w:spacing w:line="276" w:lineRule="auto"/>
        <w:contextualSpacing/>
        <w:jc w:val="both"/>
      </w:pPr>
      <w:r>
        <w:t xml:space="preserve">    </w:t>
      </w:r>
      <w:r w:rsidR="00411437" w:rsidRPr="00350FE5">
        <w:t>Zheng, G. W.</w:t>
      </w:r>
      <w:proofErr w:type="gramStart"/>
      <w:r w:rsidR="00411437" w:rsidRPr="00350FE5">
        <w:t xml:space="preserve">,  </w:t>
      </w:r>
      <w:proofErr w:type="spellStart"/>
      <w:r w:rsidR="00411437" w:rsidRPr="00350FE5">
        <w:t>Siddik</w:t>
      </w:r>
      <w:proofErr w:type="spellEnd"/>
      <w:proofErr w:type="gramEnd"/>
      <w:r w:rsidR="00411437" w:rsidRPr="00350FE5">
        <w:t xml:space="preserve">, A. B., </w:t>
      </w:r>
      <w:proofErr w:type="spellStart"/>
      <w:r w:rsidR="00411437" w:rsidRPr="00350FE5">
        <w:t>Masukujjaman</w:t>
      </w:r>
      <w:proofErr w:type="spellEnd"/>
      <w:r w:rsidR="00411437" w:rsidRPr="00350FE5">
        <w:t>, M., &amp; Fatema, N. (2021),</w:t>
      </w:r>
      <w:r w:rsidR="00411437" w:rsidRPr="00350FE5">
        <w:rPr>
          <w:color w:val="000000" w:themeColor="text1"/>
        </w:rPr>
        <w:t xml:space="preserve"> investigated  the dimensions of GF and  effects on the sustainability performance of FIs in Bangladesh. They proved the PCBs accounted for the highest GF of total green finance in Bangladesh.</w:t>
      </w:r>
      <w:r w:rsidR="004A40B4" w:rsidRPr="00350FE5">
        <w:rPr>
          <w:color w:val="000000" w:themeColor="text1"/>
        </w:rPr>
        <w:t xml:space="preserve"> </w:t>
      </w:r>
      <w:r w:rsidR="00411437" w:rsidRPr="00350FE5">
        <w:rPr>
          <w:color w:val="000000" w:themeColor="text1"/>
        </w:rPr>
        <w:t>The dimensions of G</w:t>
      </w:r>
      <w:r w:rsidR="004A40B4" w:rsidRPr="00350FE5">
        <w:rPr>
          <w:color w:val="000000" w:themeColor="text1"/>
        </w:rPr>
        <w:t>F such as</w:t>
      </w:r>
      <w:r w:rsidR="00411437" w:rsidRPr="00350FE5">
        <w:rPr>
          <w:color w:val="000000" w:themeColor="text1"/>
        </w:rPr>
        <w:t xml:space="preserve"> social, environment</w:t>
      </w:r>
      <w:r w:rsidR="004A40B4" w:rsidRPr="00350FE5">
        <w:rPr>
          <w:color w:val="000000" w:themeColor="text1"/>
        </w:rPr>
        <w:t xml:space="preserve">al, and economic </w:t>
      </w:r>
      <w:r w:rsidR="00411437" w:rsidRPr="00350FE5">
        <w:rPr>
          <w:color w:val="000000" w:themeColor="text1"/>
        </w:rPr>
        <w:t>have a positive effect on the sustai</w:t>
      </w:r>
      <w:r w:rsidR="004A40B4" w:rsidRPr="00350FE5">
        <w:rPr>
          <w:color w:val="000000" w:themeColor="text1"/>
        </w:rPr>
        <w:t>nability performance of banks.</w:t>
      </w:r>
      <w:r w:rsidR="00411437" w:rsidRPr="00350FE5">
        <w:rPr>
          <w:color w:val="000000" w:themeColor="text1"/>
        </w:rPr>
        <w:t xml:space="preserve"> About 95% of bankers thought GF is an important element in banking sectors' short-term and long-term development</w:t>
      </w:r>
      <w:r w:rsidR="004A40B4" w:rsidRPr="00350FE5">
        <w:rPr>
          <w:color w:val="000000" w:themeColor="text1"/>
        </w:rPr>
        <w:t>.</w:t>
      </w:r>
      <w:r w:rsidR="004A40B4" w:rsidRPr="00350FE5">
        <w:t xml:space="preserve"> </w:t>
      </w:r>
    </w:p>
    <w:p w:rsidR="00CF53E0" w:rsidRDefault="00247F22" w:rsidP="009B4300">
      <w:pPr>
        <w:pStyle w:val="Default"/>
        <w:spacing w:line="276" w:lineRule="auto"/>
        <w:contextualSpacing/>
        <w:jc w:val="both"/>
        <w:rPr>
          <w:color w:val="000000" w:themeColor="text1"/>
        </w:rPr>
      </w:pPr>
      <w:r>
        <w:t xml:space="preserve">    </w:t>
      </w:r>
      <w:r w:rsidR="004A40B4" w:rsidRPr="00350FE5">
        <w:t>Azad, M. A. K et., al. (2022),</w:t>
      </w:r>
      <w:r w:rsidR="004A40B4" w:rsidRPr="00350FE5">
        <w:rPr>
          <w:color w:val="000000" w:themeColor="text1"/>
        </w:rPr>
        <w:t xml:space="preserve"> explored Bangladesh bank made a significant performance to green the financial system by implementing </w:t>
      </w:r>
      <w:proofErr w:type="gramStart"/>
      <w:r w:rsidR="004A40B4" w:rsidRPr="00350FE5">
        <w:rPr>
          <w:color w:val="000000" w:themeColor="text1"/>
        </w:rPr>
        <w:t>various  green</w:t>
      </w:r>
      <w:proofErr w:type="gramEnd"/>
      <w:r w:rsidR="004A40B4" w:rsidRPr="00350FE5">
        <w:rPr>
          <w:color w:val="000000" w:themeColor="text1"/>
        </w:rPr>
        <w:t xml:space="preserve"> projects and the total target achieved 3.16% in the GF and 9.32% in the SF which is still far behind the SDGs. </w:t>
      </w:r>
    </w:p>
    <w:p w:rsidR="001A36D8" w:rsidRDefault="00247F22" w:rsidP="009B4300">
      <w:pPr>
        <w:pStyle w:val="Default"/>
        <w:spacing w:line="276" w:lineRule="auto"/>
        <w:contextualSpacing/>
        <w:jc w:val="both"/>
      </w:pPr>
      <w:r>
        <w:t xml:space="preserve">    </w:t>
      </w:r>
      <w:r w:rsidR="00CF53E0" w:rsidRPr="00F42748">
        <w:t xml:space="preserve">Shahriar, A. H. M., </w:t>
      </w:r>
      <w:proofErr w:type="spellStart"/>
      <w:r w:rsidR="00CF53E0" w:rsidRPr="00F42748">
        <w:t>Alam</w:t>
      </w:r>
      <w:proofErr w:type="spellEnd"/>
      <w:r w:rsidR="00CF53E0" w:rsidRPr="00F42748">
        <w:t xml:space="preserve">, M.J., Biswas, A. A., </w:t>
      </w:r>
      <w:proofErr w:type="spellStart"/>
      <w:r w:rsidR="00CF53E0" w:rsidRPr="00F42748">
        <w:t>Ru</w:t>
      </w:r>
      <w:r w:rsidR="00F42748" w:rsidRPr="00F42748">
        <w:t>maly</w:t>
      </w:r>
      <w:proofErr w:type="spellEnd"/>
      <w:r w:rsidR="00F42748" w:rsidRPr="00F42748">
        <w:t xml:space="preserve">, N., &amp; Golder, U. (2021), </w:t>
      </w:r>
      <w:r w:rsidR="00CF53E0" w:rsidRPr="00F42748">
        <w:t xml:space="preserve">revealed ROA, EPS, </w:t>
      </w:r>
      <w:r w:rsidR="00F42748" w:rsidRPr="00F42748">
        <w:t xml:space="preserve">asset structure, investment structure etc. influence the capital structure of banks in Bangladesh. </w:t>
      </w:r>
    </w:p>
    <w:p w:rsidR="00F11EFB" w:rsidRDefault="00247F22" w:rsidP="009B4300">
      <w:pPr>
        <w:pStyle w:val="Default"/>
        <w:spacing w:line="276" w:lineRule="auto"/>
        <w:contextualSpacing/>
        <w:jc w:val="both"/>
        <w:rPr>
          <w:color w:val="000000" w:themeColor="text1"/>
        </w:rPr>
      </w:pPr>
      <w:r>
        <w:rPr>
          <w:color w:val="000000" w:themeColor="text1"/>
        </w:rPr>
        <w:t xml:space="preserve">    </w:t>
      </w:r>
      <w:r w:rsidR="004A40B4" w:rsidRPr="00350FE5">
        <w:rPr>
          <w:color w:val="000000" w:themeColor="text1"/>
        </w:rPr>
        <w:t xml:space="preserve">After reviewing the previous </w:t>
      </w:r>
      <w:proofErr w:type="gramStart"/>
      <w:r w:rsidR="004A40B4" w:rsidRPr="00350FE5">
        <w:rPr>
          <w:color w:val="000000" w:themeColor="text1"/>
        </w:rPr>
        <w:t>literatures</w:t>
      </w:r>
      <w:proofErr w:type="gramEnd"/>
      <w:r w:rsidR="004A40B4" w:rsidRPr="00350FE5">
        <w:rPr>
          <w:color w:val="000000" w:themeColor="text1"/>
        </w:rPr>
        <w:t xml:space="preserve"> it is clear that they revealed a </w:t>
      </w:r>
      <w:r w:rsidR="00AB7DB0" w:rsidRPr="00350FE5">
        <w:rPr>
          <w:color w:val="000000" w:themeColor="text1"/>
        </w:rPr>
        <w:t>heterogeneous findings relating to green financing scenario which influenced to a new investigation mentioning updated information.</w:t>
      </w:r>
    </w:p>
    <w:p w:rsidR="00247F22" w:rsidRDefault="00247F22" w:rsidP="009B4300">
      <w:pPr>
        <w:pStyle w:val="Default"/>
        <w:spacing w:line="276" w:lineRule="auto"/>
        <w:contextualSpacing/>
        <w:jc w:val="both"/>
        <w:rPr>
          <w:color w:val="000000" w:themeColor="text1"/>
        </w:rPr>
      </w:pPr>
    </w:p>
    <w:p w:rsidR="00247F22" w:rsidRPr="00682CF0" w:rsidRDefault="00247F22" w:rsidP="009B4300">
      <w:pPr>
        <w:pStyle w:val="Default"/>
        <w:spacing w:line="276" w:lineRule="auto"/>
        <w:contextualSpacing/>
        <w:jc w:val="both"/>
        <w:rPr>
          <w:b/>
          <w:color w:val="000000" w:themeColor="text1"/>
        </w:rPr>
      </w:pPr>
      <w:r w:rsidRPr="00682CF0">
        <w:rPr>
          <w:b/>
          <w:color w:val="000000" w:themeColor="text1"/>
        </w:rPr>
        <w:t>3. Methodology</w:t>
      </w:r>
    </w:p>
    <w:p w:rsidR="00247F22" w:rsidRPr="00682CF0" w:rsidRDefault="00247F22" w:rsidP="009B4300">
      <w:pPr>
        <w:pStyle w:val="Default"/>
        <w:spacing w:line="276" w:lineRule="auto"/>
        <w:contextualSpacing/>
        <w:jc w:val="both"/>
        <w:rPr>
          <w:color w:val="000000" w:themeColor="text1"/>
        </w:rPr>
      </w:pPr>
      <w:r w:rsidRPr="00682CF0">
        <w:rPr>
          <w:color w:val="000000" w:themeColor="text1"/>
        </w:rPr>
        <w:t xml:space="preserve">The study is conducted </w:t>
      </w:r>
      <w:r w:rsidR="00D95DA9" w:rsidRPr="00682CF0">
        <w:rPr>
          <w:color w:val="000000" w:themeColor="text1"/>
        </w:rPr>
        <w:t>on the basis of secondary data collected from Bangladesh bank sustainable department website</w:t>
      </w:r>
      <w:r w:rsidR="00682CF0">
        <w:rPr>
          <w:color w:val="000000" w:themeColor="text1"/>
        </w:rPr>
        <w:t xml:space="preserve"> published in 2023 and 2024</w:t>
      </w:r>
      <w:r w:rsidR="00D95DA9" w:rsidRPr="00682CF0">
        <w:rPr>
          <w:color w:val="000000" w:themeColor="text1"/>
        </w:rPr>
        <w:t>. A total of 61 banks are functioning right now in four categories such as PCBs (43), SOCBs (06), FCBs (09) and SDBs (03). All banks are supposed to submit quarterly basis report to the BB and also declare their own website as per BB instructions.</w:t>
      </w:r>
      <w:r w:rsidR="00353015" w:rsidRPr="00682CF0">
        <w:rPr>
          <w:color w:val="000000" w:themeColor="text1"/>
        </w:rPr>
        <w:t xml:space="preserve"> So, the study also attempted to collect related quantitative data from other banks’ website, published articles covering green financing initiatives and used MS-Excel software</w:t>
      </w:r>
      <w:r w:rsidR="00682CF0">
        <w:rPr>
          <w:color w:val="000000" w:themeColor="text1"/>
        </w:rPr>
        <w:t xml:space="preserve"> 2016</w:t>
      </w:r>
      <w:r w:rsidR="00353015" w:rsidRPr="00682CF0">
        <w:rPr>
          <w:color w:val="000000" w:themeColor="text1"/>
        </w:rPr>
        <w:t xml:space="preserve"> for tabulating, measuring and interpreting the dataset. The dataset covers almost all scheduled banks and exclude non-bank financial institutions due to time constraints and insufficient fund.</w:t>
      </w:r>
    </w:p>
    <w:p w:rsidR="00247F22" w:rsidRPr="00682CF0" w:rsidRDefault="00247F22" w:rsidP="009B4300">
      <w:pPr>
        <w:pStyle w:val="Default"/>
        <w:spacing w:line="276" w:lineRule="auto"/>
        <w:contextualSpacing/>
        <w:jc w:val="both"/>
        <w:rPr>
          <w:b/>
          <w:bCs/>
          <w:color w:val="000000" w:themeColor="text1"/>
        </w:rPr>
      </w:pPr>
    </w:p>
    <w:p w:rsidR="001A7854" w:rsidRDefault="001A7854" w:rsidP="009B4300">
      <w:pPr>
        <w:pStyle w:val="Default"/>
        <w:spacing w:line="276" w:lineRule="auto"/>
        <w:contextualSpacing/>
        <w:jc w:val="both"/>
        <w:rPr>
          <w:b/>
          <w:bCs/>
          <w:color w:val="000000" w:themeColor="text1"/>
        </w:rPr>
      </w:pPr>
      <w:r>
        <w:rPr>
          <w:b/>
          <w:bCs/>
          <w:color w:val="000000" w:themeColor="text1"/>
        </w:rPr>
        <w:t>4. Results and Analysis</w:t>
      </w:r>
    </w:p>
    <w:p w:rsidR="001A7854" w:rsidRDefault="001A7854" w:rsidP="009B4300">
      <w:pPr>
        <w:pStyle w:val="Default"/>
        <w:spacing w:line="276" w:lineRule="auto"/>
        <w:contextualSpacing/>
        <w:jc w:val="both"/>
        <w:rPr>
          <w:b/>
          <w:bCs/>
          <w:color w:val="000000" w:themeColor="text1"/>
        </w:rPr>
      </w:pPr>
    </w:p>
    <w:p w:rsidR="006F7FDE" w:rsidRPr="00350FE5" w:rsidRDefault="00F31428" w:rsidP="009B4300">
      <w:pPr>
        <w:pStyle w:val="Default"/>
        <w:spacing w:line="276" w:lineRule="auto"/>
        <w:contextualSpacing/>
        <w:jc w:val="both"/>
        <w:rPr>
          <w:b/>
          <w:bCs/>
          <w:color w:val="000000" w:themeColor="text1"/>
        </w:rPr>
      </w:pPr>
      <w:r>
        <w:rPr>
          <w:b/>
          <w:bCs/>
          <w:color w:val="000000" w:themeColor="text1"/>
        </w:rPr>
        <w:t xml:space="preserve">4.1 </w:t>
      </w:r>
      <w:r w:rsidR="006F7FDE" w:rsidRPr="00350FE5">
        <w:rPr>
          <w:b/>
          <w:bCs/>
          <w:color w:val="000000" w:themeColor="text1"/>
        </w:rPr>
        <w:t>Refinance Initiatives of Ba</w:t>
      </w:r>
      <w:r w:rsidR="001A085A" w:rsidRPr="00350FE5">
        <w:rPr>
          <w:b/>
          <w:bCs/>
          <w:color w:val="000000" w:themeColor="text1"/>
        </w:rPr>
        <w:t>ngladesh Bank at the end of Q</w:t>
      </w:r>
      <w:r w:rsidR="001A085A" w:rsidRPr="00350FE5">
        <w:rPr>
          <w:b/>
          <w:bCs/>
          <w:color w:val="000000" w:themeColor="text1"/>
          <w:vertAlign w:val="subscript"/>
        </w:rPr>
        <w:t>1</w:t>
      </w:r>
      <w:r w:rsidR="001A085A" w:rsidRPr="00350FE5">
        <w:rPr>
          <w:b/>
          <w:bCs/>
          <w:color w:val="000000" w:themeColor="text1"/>
        </w:rPr>
        <w:t>, 2024</w:t>
      </w:r>
    </w:p>
    <w:p w:rsidR="006F7FDE" w:rsidRPr="00350FE5" w:rsidRDefault="006F7FDE" w:rsidP="009B4300">
      <w:pPr>
        <w:pStyle w:val="Default"/>
        <w:spacing w:line="276" w:lineRule="auto"/>
        <w:contextualSpacing/>
        <w:jc w:val="both"/>
        <w:rPr>
          <w:bCs/>
          <w:color w:val="000000" w:themeColor="text1"/>
        </w:rPr>
      </w:pPr>
      <w:r w:rsidRPr="00350FE5">
        <w:rPr>
          <w:bCs/>
          <w:color w:val="000000" w:themeColor="text1"/>
        </w:rPr>
        <w:t xml:space="preserve">Bangladesh Bank created Tk. 200 crore refinancing scheme in 2009 for ETP, biogas, and solar energy. These funds increased from Tk. 200 crore to Tk. 400 crore to meet </w:t>
      </w:r>
      <w:r w:rsidRPr="00350FE5">
        <w:rPr>
          <w:bCs/>
          <w:color w:val="000000" w:themeColor="text1"/>
        </w:rPr>
        <w:lastRenderedPageBreak/>
        <w:t xml:space="preserve">the increased demand for funding environmentally friendly projects. Bangladesh Bank introduced a refinancing scheme of Tk. 400 crore to offer refinance facilities to promote smooth financing in green projects (SFD circular No. 04, 24 July 2022 by BB consisting of VII articles). Only term loan is considered for refinance facility under this scheme. </w:t>
      </w:r>
      <w:r w:rsidRPr="00350FE5">
        <w:rPr>
          <w:rFonts w:eastAsia="Times New Roman"/>
        </w:rPr>
        <w:t>Financial institutions need funds to facilitate green financing. After that, they will finance several green sectors. To provide required funds and accelerate green banking activities, BB has introduced refinance schemes for renewable energy and eco-friendly sectors to facilitate banks and non-bank financial institutions to offer credit at a 1% interest rate and easy te</w:t>
      </w:r>
      <w:r w:rsidR="001A36D8">
        <w:rPr>
          <w:rFonts w:eastAsia="Times New Roman"/>
        </w:rPr>
        <w:t>rms and conditions. Bangladesh b</w:t>
      </w:r>
      <w:r w:rsidRPr="00350FE5">
        <w:rPr>
          <w:rFonts w:eastAsia="Times New Roman"/>
        </w:rPr>
        <w:t>ank created BDT. 200 crores of funds for refinancing s</w:t>
      </w:r>
      <w:r w:rsidR="008D2C2C" w:rsidRPr="00350FE5">
        <w:rPr>
          <w:rFonts w:eastAsia="Times New Roman"/>
        </w:rPr>
        <w:t xml:space="preserve">chemes. The following figure </w:t>
      </w:r>
      <w:r w:rsidRPr="00350FE5">
        <w:rPr>
          <w:rFonts w:eastAsia="Times New Roman"/>
        </w:rPr>
        <w:t>2 shows the four main sectors and fund allotment. Besides, another ten sectors of refinance are: </w:t>
      </w:r>
      <w:proofErr w:type="spellStart"/>
      <w:r w:rsidRPr="00350FE5">
        <w:rPr>
          <w:rFonts w:eastAsia="Times New Roman"/>
        </w:rPr>
        <w:t>i</w:t>
      </w:r>
      <w:proofErr w:type="spellEnd"/>
      <w:r w:rsidRPr="00350FE5">
        <w:rPr>
          <w:rFonts w:eastAsia="Times New Roman"/>
        </w:rPr>
        <w:t>) Solar mini-grid ii) LED bulb production plant  iii) Preparation of organic manure from slurry  iv) Solar battery reprocessing plant v) Medium-size biogas plant vi) PET bottle reprocessing plant  vii) Replacement of conventional lime kiln into energy-efficient kiln viii) Hydropower plant (Pico, micro, mini) based on the production capacity ix) Production of vermicomposting fertilizer with the purchase of 2 (two) cows and  x) Production of vermicomposting fertilizer without the purchase of 2 (two) cows.</w:t>
      </w:r>
    </w:p>
    <w:p w:rsidR="006F7FDE" w:rsidRPr="00350FE5" w:rsidRDefault="006F7FDE" w:rsidP="009B4300">
      <w:pPr>
        <w:spacing w:after="0" w:line="276" w:lineRule="auto"/>
        <w:contextualSpacing/>
        <w:jc w:val="both"/>
        <w:rPr>
          <w:rFonts w:eastAsia="Times New Roman"/>
        </w:rPr>
      </w:pPr>
      <w:r w:rsidRPr="00350FE5">
        <w:rPr>
          <w:rFonts w:eastAsia="Times New Roman"/>
          <w:noProof/>
        </w:rPr>
        <mc:AlternateContent>
          <mc:Choice Requires="wpg">
            <w:drawing>
              <wp:anchor distT="0" distB="0" distL="114300" distR="114300" simplePos="0" relativeHeight="251662336" behindDoc="0" locked="0" layoutInCell="1" allowOverlap="1" wp14:anchorId="3F254FC0" wp14:editId="157140C2">
                <wp:simplePos x="0" y="0"/>
                <wp:positionH relativeFrom="column">
                  <wp:posOffset>152400</wp:posOffset>
                </wp:positionH>
                <wp:positionV relativeFrom="paragraph">
                  <wp:posOffset>126365</wp:posOffset>
                </wp:positionV>
                <wp:extent cx="5314462" cy="1671857"/>
                <wp:effectExtent l="0" t="0" r="19685" b="24130"/>
                <wp:wrapNone/>
                <wp:docPr id="34" name="Group 34"/>
                <wp:cNvGraphicFramePr/>
                <a:graphic xmlns:a="http://schemas.openxmlformats.org/drawingml/2006/main">
                  <a:graphicData uri="http://schemas.microsoft.com/office/word/2010/wordprocessingGroup">
                    <wpg:wgp>
                      <wpg:cNvGrpSpPr/>
                      <wpg:grpSpPr>
                        <a:xfrm>
                          <a:off x="0" y="0"/>
                          <a:ext cx="5314462" cy="1671857"/>
                          <a:chOff x="1" y="43632"/>
                          <a:chExt cx="5314913" cy="1446816"/>
                        </a:xfrm>
                      </wpg:grpSpPr>
                      <wps:wsp>
                        <wps:cNvPr id="6936764" name="Oval 62"/>
                        <wps:cNvSpPr>
                          <a:spLocks noChangeArrowheads="1"/>
                        </wps:cNvSpPr>
                        <wps:spPr bwMode="auto">
                          <a:xfrm>
                            <a:off x="1688261" y="739163"/>
                            <a:ext cx="1736948" cy="672589"/>
                          </a:xfrm>
                          <a:prstGeom prst="ellipse">
                            <a:avLst/>
                          </a:prstGeom>
                          <a:solidFill>
                            <a:schemeClr val="accent3"/>
                          </a:solidFill>
                          <a:ln w="9525">
                            <a:solidFill>
                              <a:srgbClr val="000000"/>
                            </a:solidFill>
                            <a:round/>
                            <a:headEnd/>
                            <a:tailEnd/>
                          </a:ln>
                        </wps:spPr>
                        <wps:txbx>
                          <w:txbxContent>
                            <w:p w:rsidR="00585A62" w:rsidRPr="0016614C" w:rsidRDefault="00585A62" w:rsidP="006F7FDE">
                              <w:pPr>
                                <w:shd w:val="clear" w:color="auto" w:fill="00B0F0"/>
                                <w:jc w:val="center"/>
                                <w:rPr>
                                  <w:b/>
                                  <w:color w:val="FFFFFF" w:themeColor="background1"/>
                                </w:rPr>
                              </w:pPr>
                              <w:r w:rsidRPr="0016614C">
                                <w:rPr>
                                  <w:b/>
                                  <w:color w:val="FFFFFF" w:themeColor="background1"/>
                                </w:rPr>
                                <w:t>Refinancing Schemes</w:t>
                              </w:r>
                            </w:p>
                          </w:txbxContent>
                        </wps:txbx>
                        <wps:bodyPr rot="0" vert="horz" wrap="square" lIns="91440" tIns="45720" rIns="91440" bIns="45720" anchor="t" anchorCtr="0" upright="1">
                          <a:noAutofit/>
                        </wps:bodyPr>
                      </wps:wsp>
                      <wps:wsp>
                        <wps:cNvPr id="1583141073" name="Rectangle 63"/>
                        <wps:cNvSpPr>
                          <a:spLocks noChangeArrowheads="1"/>
                        </wps:cNvSpPr>
                        <wps:spPr bwMode="auto">
                          <a:xfrm>
                            <a:off x="1" y="747286"/>
                            <a:ext cx="1430773" cy="743162"/>
                          </a:xfrm>
                          <a:prstGeom prst="rect">
                            <a:avLst/>
                          </a:prstGeom>
                          <a:solidFill>
                            <a:srgbClr val="00B0F0"/>
                          </a:solidFill>
                          <a:ln w="9525">
                            <a:solidFill>
                              <a:srgbClr val="000000"/>
                            </a:solidFill>
                            <a:miter lim="800000"/>
                            <a:headEnd/>
                            <a:tailEnd/>
                          </a:ln>
                        </wps:spPr>
                        <wps:txbx>
                          <w:txbxContent>
                            <w:p w:rsidR="00585A62" w:rsidRPr="00143CD2" w:rsidRDefault="00585A62" w:rsidP="006F7FDE">
                              <w:pPr>
                                <w:spacing w:after="0" w:line="240" w:lineRule="auto"/>
                                <w:rPr>
                                  <w:b/>
                                  <w:sz w:val="20"/>
                                </w:rPr>
                              </w:pPr>
                              <w:r w:rsidRPr="00143CD2">
                                <w:rPr>
                                  <w:b/>
                                  <w:sz w:val="20"/>
                                </w:rPr>
                                <w:t xml:space="preserve">Green Transformation Fund </w:t>
                              </w:r>
                            </w:p>
                            <w:p w:rsidR="00585A62" w:rsidRPr="00143CD2" w:rsidRDefault="00585A62" w:rsidP="006F7FDE">
                              <w:pPr>
                                <w:spacing w:after="0" w:line="240" w:lineRule="auto"/>
                                <w:rPr>
                                  <w:sz w:val="20"/>
                                </w:rPr>
                              </w:pPr>
                              <w:r w:rsidRPr="00143CD2">
                                <w:rPr>
                                  <w:sz w:val="20"/>
                                </w:rPr>
                                <w:t xml:space="preserve"> USD 200 million </w:t>
                              </w:r>
                            </w:p>
                            <w:p w:rsidR="00585A62" w:rsidRPr="00143CD2" w:rsidRDefault="00585A62" w:rsidP="006F7FDE">
                              <w:pPr>
                                <w:spacing w:after="0" w:line="240" w:lineRule="auto"/>
                                <w:rPr>
                                  <w:sz w:val="20"/>
                                </w:rPr>
                              </w:pPr>
                              <w:r w:rsidRPr="00143CD2">
                                <w:rPr>
                                  <w:sz w:val="20"/>
                                </w:rPr>
                                <w:t xml:space="preserve"> Euro 200 million</w:t>
                              </w:r>
                            </w:p>
                            <w:p w:rsidR="00585A62" w:rsidRPr="00143CD2" w:rsidRDefault="00585A62" w:rsidP="006F7FDE">
                              <w:pPr>
                                <w:spacing w:after="0" w:line="240" w:lineRule="auto"/>
                                <w:rPr>
                                  <w:sz w:val="20"/>
                                </w:rPr>
                              </w:pPr>
                              <w:r w:rsidRPr="00143CD2">
                                <w:rPr>
                                  <w:sz w:val="20"/>
                                </w:rPr>
                                <w:t xml:space="preserve"> BDT 50 billion </w:t>
                              </w:r>
                            </w:p>
                            <w:p w:rsidR="00585A62" w:rsidRDefault="00585A62" w:rsidP="006F7FDE"/>
                          </w:txbxContent>
                        </wps:txbx>
                        <wps:bodyPr rot="0" vert="horz" wrap="square" lIns="91440" tIns="45720" rIns="91440" bIns="45720" anchor="t" anchorCtr="0" upright="1">
                          <a:noAutofit/>
                        </wps:bodyPr>
                      </wps:wsp>
                      <wps:wsp>
                        <wps:cNvPr id="1658392634" name="Rectangle 64"/>
                        <wps:cNvSpPr>
                          <a:spLocks noChangeArrowheads="1"/>
                        </wps:cNvSpPr>
                        <wps:spPr bwMode="auto">
                          <a:xfrm>
                            <a:off x="2838297" y="59271"/>
                            <a:ext cx="1968574" cy="520192"/>
                          </a:xfrm>
                          <a:prstGeom prst="rect">
                            <a:avLst/>
                          </a:prstGeom>
                          <a:solidFill>
                            <a:schemeClr val="accent3">
                              <a:lumMod val="20000"/>
                              <a:lumOff val="80000"/>
                            </a:schemeClr>
                          </a:solidFill>
                          <a:ln w="9525">
                            <a:solidFill>
                              <a:srgbClr val="000000"/>
                            </a:solidFill>
                            <a:miter lim="800000"/>
                            <a:headEnd/>
                            <a:tailEnd/>
                          </a:ln>
                        </wps:spPr>
                        <wps:txbx>
                          <w:txbxContent>
                            <w:p w:rsidR="00585A62" w:rsidRPr="00076D27" w:rsidRDefault="00585A62" w:rsidP="006F7FDE">
                              <w:pPr>
                                <w:rPr>
                                  <w:sz w:val="20"/>
                                </w:rPr>
                              </w:pPr>
                              <w:r>
                                <w:rPr>
                                  <w:b/>
                                  <w:sz w:val="20"/>
                                </w:rPr>
                                <w:t xml:space="preserve">Technology </w:t>
                              </w:r>
                              <w:r w:rsidRPr="00076D27">
                                <w:rPr>
                                  <w:b/>
                                  <w:sz w:val="20"/>
                                </w:rPr>
                                <w:t xml:space="preserve">Upgradation Fund </w:t>
                              </w:r>
                              <w:r w:rsidRPr="00076D27">
                                <w:rPr>
                                  <w:sz w:val="20"/>
                                </w:rPr>
                                <w:t xml:space="preserve">BDT 10 billion </w:t>
                              </w:r>
                            </w:p>
                            <w:p w:rsidR="00585A62" w:rsidRDefault="00585A62" w:rsidP="006F7FDE"/>
                          </w:txbxContent>
                        </wps:txbx>
                        <wps:bodyPr rot="0" vert="horz" wrap="square" lIns="91440" tIns="45720" rIns="91440" bIns="45720" anchor="t" anchorCtr="0" upright="1">
                          <a:noAutofit/>
                        </wps:bodyPr>
                      </wps:wsp>
                      <wps:wsp>
                        <wps:cNvPr id="142674636" name="Rectangle 65"/>
                        <wps:cNvSpPr>
                          <a:spLocks noChangeArrowheads="1"/>
                        </wps:cNvSpPr>
                        <wps:spPr bwMode="auto">
                          <a:xfrm>
                            <a:off x="3722818" y="746951"/>
                            <a:ext cx="1592096" cy="664288"/>
                          </a:xfrm>
                          <a:prstGeom prst="rect">
                            <a:avLst/>
                          </a:prstGeom>
                          <a:solidFill>
                            <a:srgbClr val="92D050"/>
                          </a:solidFill>
                          <a:ln w="9525">
                            <a:solidFill>
                              <a:srgbClr val="000000"/>
                            </a:solidFill>
                            <a:miter lim="800000"/>
                            <a:headEnd/>
                            <a:tailEnd/>
                          </a:ln>
                        </wps:spPr>
                        <wps:txbx>
                          <w:txbxContent>
                            <w:p w:rsidR="00585A62" w:rsidRPr="00143CD2" w:rsidRDefault="00585A62" w:rsidP="006F7FDE">
                              <w:pPr>
                                <w:spacing w:after="0"/>
                                <w:rPr>
                                  <w:b/>
                                  <w:sz w:val="20"/>
                                </w:rPr>
                              </w:pPr>
                              <w:r w:rsidRPr="00143CD2">
                                <w:rPr>
                                  <w:b/>
                                  <w:sz w:val="20"/>
                                </w:rPr>
                                <w:t>Shariah Based Refinancing Schemes for Green Products</w:t>
                              </w:r>
                            </w:p>
                            <w:p w:rsidR="00585A62" w:rsidRPr="00143CD2" w:rsidRDefault="00585A62" w:rsidP="006F7FDE">
                              <w:pPr>
                                <w:spacing w:after="0"/>
                                <w:rPr>
                                  <w:sz w:val="20"/>
                                </w:rPr>
                              </w:pPr>
                              <w:r w:rsidRPr="00143CD2">
                                <w:rPr>
                                  <w:sz w:val="20"/>
                                </w:rPr>
                                <w:t>BDT 1.25 billion</w:t>
                              </w:r>
                            </w:p>
                          </w:txbxContent>
                        </wps:txbx>
                        <wps:bodyPr rot="0" vert="horz" wrap="square" lIns="91440" tIns="45720" rIns="91440" bIns="45720" anchor="t" anchorCtr="0" upright="1">
                          <a:noAutofit/>
                        </wps:bodyPr>
                      </wps:wsp>
                      <wps:wsp>
                        <wps:cNvPr id="1180628386" name="Rectangle 66"/>
                        <wps:cNvSpPr>
                          <a:spLocks noChangeArrowheads="1"/>
                        </wps:cNvSpPr>
                        <wps:spPr bwMode="auto">
                          <a:xfrm>
                            <a:off x="554941" y="43632"/>
                            <a:ext cx="1633555" cy="535851"/>
                          </a:xfrm>
                          <a:prstGeom prst="rect">
                            <a:avLst/>
                          </a:prstGeom>
                          <a:solidFill>
                            <a:schemeClr val="accent4">
                              <a:lumMod val="20000"/>
                              <a:lumOff val="80000"/>
                            </a:schemeClr>
                          </a:solidFill>
                          <a:ln w="9525">
                            <a:solidFill>
                              <a:schemeClr val="accent5"/>
                            </a:solidFill>
                            <a:miter lim="800000"/>
                            <a:headEnd/>
                            <a:tailEnd/>
                          </a:ln>
                        </wps:spPr>
                        <wps:txbx>
                          <w:txbxContent>
                            <w:p w:rsidR="00585A62" w:rsidRPr="00076D27" w:rsidRDefault="00585A62" w:rsidP="006F7FDE">
                              <w:pPr>
                                <w:spacing w:after="0"/>
                                <w:rPr>
                                  <w:b/>
                                  <w:sz w:val="20"/>
                                </w:rPr>
                              </w:pPr>
                              <w:r>
                                <w:rPr>
                                  <w:b/>
                                  <w:sz w:val="20"/>
                                </w:rPr>
                                <w:t xml:space="preserve">Green Products and Initiatives </w:t>
                              </w:r>
                              <w:r w:rsidRPr="00076D27">
                                <w:rPr>
                                  <w:sz w:val="20"/>
                                </w:rPr>
                                <w:t>BDT 10 billion</w:t>
                              </w:r>
                            </w:p>
                          </w:txbxContent>
                        </wps:txbx>
                        <wps:bodyPr rot="0" vert="horz" wrap="square" lIns="91440" tIns="45720" rIns="91440" bIns="45720" anchor="t" anchorCtr="0" upright="1">
                          <a:noAutofit/>
                        </wps:bodyPr>
                      </wps:wsp>
                      <wps:wsp>
                        <wps:cNvPr id="1699264880" name="AutoShape 67"/>
                        <wps:cNvSpPr>
                          <a:spLocks noChangeArrowheads="1"/>
                        </wps:cNvSpPr>
                        <wps:spPr bwMode="auto">
                          <a:xfrm>
                            <a:off x="1430773" y="979451"/>
                            <a:ext cx="267335" cy="135211"/>
                          </a:xfrm>
                          <a:prstGeom prst="rightArrow">
                            <a:avLst>
                              <a:gd name="adj1" fmla="val 50000"/>
                              <a:gd name="adj2" fmla="val 25000"/>
                            </a:avLst>
                          </a:prstGeom>
                          <a:solidFill>
                            <a:srgbClr val="00B050"/>
                          </a:solidFill>
                          <a:ln w="9525">
                            <a:solidFill>
                              <a:srgbClr val="000000"/>
                            </a:solidFill>
                            <a:miter lim="800000"/>
                            <a:headEnd/>
                            <a:tailEnd/>
                          </a:ln>
                        </wps:spPr>
                        <wps:bodyPr rot="0" vert="horz" wrap="square" lIns="91440" tIns="45720" rIns="91440" bIns="45720" anchor="t" anchorCtr="0" upright="1">
                          <a:noAutofit/>
                        </wps:bodyPr>
                      </wps:wsp>
                      <wps:wsp>
                        <wps:cNvPr id="1492765466" name="AutoShape 68"/>
                        <wps:cNvSpPr>
                          <a:spLocks noChangeArrowheads="1"/>
                        </wps:cNvSpPr>
                        <wps:spPr bwMode="auto">
                          <a:xfrm>
                            <a:off x="2051168" y="578985"/>
                            <a:ext cx="177872" cy="199021"/>
                          </a:xfrm>
                          <a:prstGeom prst="downArrow">
                            <a:avLst>
                              <a:gd name="adj1" fmla="val 50000"/>
                              <a:gd name="adj2" fmla="val 31275"/>
                            </a:avLst>
                          </a:prstGeom>
                          <a:solidFill>
                            <a:schemeClr val="accent2"/>
                          </a:solidFill>
                          <a:ln w="9525">
                            <a:solidFill>
                              <a:srgbClr val="000000"/>
                            </a:solidFill>
                            <a:miter lim="800000"/>
                            <a:headEnd/>
                            <a:tailEnd/>
                          </a:ln>
                        </wps:spPr>
                        <wps:bodyPr rot="0" vert="eaVert" wrap="square" lIns="91440" tIns="45720" rIns="91440" bIns="45720" anchor="t" anchorCtr="0" upright="1">
                          <a:noAutofit/>
                        </wps:bodyPr>
                      </wps:wsp>
                      <wps:wsp>
                        <wps:cNvPr id="1086971108" name="AutoShape 69"/>
                        <wps:cNvSpPr>
                          <a:spLocks noChangeArrowheads="1"/>
                        </wps:cNvSpPr>
                        <wps:spPr bwMode="auto">
                          <a:xfrm>
                            <a:off x="2813212" y="579138"/>
                            <a:ext cx="120738" cy="183441"/>
                          </a:xfrm>
                          <a:prstGeom prst="downArrow">
                            <a:avLst>
                              <a:gd name="adj1" fmla="val 50000"/>
                              <a:gd name="adj2" fmla="val 29935"/>
                            </a:avLst>
                          </a:prstGeom>
                          <a:solidFill>
                            <a:schemeClr val="accent1"/>
                          </a:solidFill>
                          <a:ln w="9525">
                            <a:solidFill>
                              <a:srgbClr val="000000"/>
                            </a:solidFill>
                            <a:miter lim="800000"/>
                            <a:headEnd/>
                            <a:tailEnd/>
                          </a:ln>
                        </wps:spPr>
                        <wps:bodyPr rot="0" vert="eaVert" wrap="square" lIns="91440" tIns="45720" rIns="91440" bIns="45720" anchor="t" anchorCtr="0" upright="1">
                          <a:noAutofit/>
                        </wps:bodyPr>
                      </wps:wsp>
                      <wps:wsp>
                        <wps:cNvPr id="1783682026" name="AutoShape 70"/>
                        <wps:cNvSpPr>
                          <a:spLocks noChangeArrowheads="1"/>
                        </wps:cNvSpPr>
                        <wps:spPr bwMode="auto">
                          <a:xfrm>
                            <a:off x="3401667" y="963010"/>
                            <a:ext cx="307340" cy="174178"/>
                          </a:xfrm>
                          <a:prstGeom prst="leftArrow">
                            <a:avLst>
                              <a:gd name="adj1" fmla="val 50000"/>
                              <a:gd name="adj2" fmla="val 25000"/>
                            </a:avLst>
                          </a:prstGeom>
                          <a:solidFill>
                            <a:srgbClr val="FF0000"/>
                          </a:solidFill>
                          <a:ln w="9525">
                            <a:solidFill>
                              <a:srgbClr val="000000"/>
                            </a:solidFill>
                            <a:miter lim="800000"/>
                            <a:headEnd/>
                            <a:tailEnd/>
                          </a:ln>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3F254FC0" id="Group 34" o:spid="_x0000_s1026" style="position:absolute;left:0;text-align:left;margin-left:12pt;margin-top:9.95pt;width:418.45pt;height:131.65pt;z-index:251662336;mso-width-relative:margin;mso-height-relative:margin" coordorigin=",436" coordsize="53149,144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">
                <v:oval id="Oval 62" o:spid="_x0000_s1027" style="position:absolute;left:16882;top:7391;width:17370;height:67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" fillcolor="#a5a5a5 [3206]">
                  <v:textbox>
                    <w:txbxContent>
                      <w:p w:rsidR="00585A62" w:rsidRPr="0016614C" w:rsidRDefault="00585A62" w:rsidP="006F7FDE">
                        <w:pPr>
                          <w:shd w:val="clear" w:color="auto" w:fill="00B0F0"/>
                          <w:jc w:val="center"/>
                          <w:rPr>
                            <w:b/>
                            <w:color w:val="FFFFFF" w:themeColor="background1"/>
                          </w:rPr>
                        </w:pPr>
                        <w:r w:rsidRPr="0016614C">
                          <w:rPr>
                            <w:b/>
                            <w:color w:val="FFFFFF" w:themeColor="background1"/>
                          </w:rPr>
                          <w:t>Refinancing Schemes</w:t>
                        </w:r>
                      </w:p>
                    </w:txbxContent>
                  </v:textbox>
                </v:oval>
                <v:rect id="Rectangle 63" o:spid="_x0000_s1028" style="position:absolute;top:7472;width:14307;height:74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" fillcolor="#00b0f0">
                  <v:textbox>
                    <w:txbxContent>
                      <w:p w:rsidR="00585A62" w:rsidRPr="00143CD2" w:rsidRDefault="00585A62" w:rsidP="006F7FDE">
                        <w:pPr>
                          <w:spacing w:after="0" w:line="240" w:lineRule="auto"/>
                          <w:rPr>
                            <w:b/>
                            <w:sz w:val="20"/>
                          </w:rPr>
                        </w:pPr>
                        <w:r w:rsidRPr="00143CD2">
                          <w:rPr>
                            <w:b/>
                            <w:sz w:val="20"/>
                          </w:rPr>
                          <w:t xml:space="preserve">Green Transformation Fund </w:t>
                        </w:r>
                      </w:p>
                      <w:p w:rsidR="00585A62" w:rsidRPr="00143CD2" w:rsidRDefault="00585A62" w:rsidP="006F7FDE">
                        <w:pPr>
                          <w:spacing w:after="0" w:line="240" w:lineRule="auto"/>
                          <w:rPr>
                            <w:sz w:val="20"/>
                          </w:rPr>
                        </w:pPr>
                        <w:r w:rsidRPr="00143CD2">
                          <w:rPr>
                            <w:sz w:val="20"/>
                          </w:rPr>
                          <w:t xml:space="preserve"> USD 200 million </w:t>
                        </w:r>
                      </w:p>
                      <w:p w:rsidR="00585A62" w:rsidRPr="00143CD2" w:rsidRDefault="00585A62" w:rsidP="006F7FDE">
                        <w:pPr>
                          <w:spacing w:after="0" w:line="240" w:lineRule="auto"/>
                          <w:rPr>
                            <w:sz w:val="20"/>
                          </w:rPr>
                        </w:pPr>
                        <w:r w:rsidRPr="00143CD2">
                          <w:rPr>
                            <w:sz w:val="20"/>
                          </w:rPr>
                          <w:t xml:space="preserve"> Euro 200 million</w:t>
                        </w:r>
                      </w:p>
                      <w:p w:rsidR="00585A62" w:rsidRPr="00143CD2" w:rsidRDefault="00585A62" w:rsidP="006F7FDE">
                        <w:pPr>
                          <w:spacing w:after="0" w:line="240" w:lineRule="auto"/>
                          <w:rPr>
                            <w:sz w:val="20"/>
                          </w:rPr>
                        </w:pPr>
                        <w:r w:rsidRPr="00143CD2">
                          <w:rPr>
                            <w:sz w:val="20"/>
                          </w:rPr>
                          <w:t xml:space="preserve"> BDT 50 billion </w:t>
                        </w:r>
                      </w:p>
                      <w:p w:rsidR="00585A62" w:rsidRDefault="00585A62" w:rsidP="006F7FDE"/>
                    </w:txbxContent>
                  </v:textbox>
                </v:rect>
                <v:rect id="Rectangle 64" o:spid="_x0000_s1029" style="position:absolute;left:28382;top:592;width:19686;height:52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" fillcolor="#ededed [662]">
                  <v:textbox>
                    <w:txbxContent>
                      <w:p w:rsidR="00585A62" w:rsidRPr="00076D27" w:rsidRDefault="00585A62" w:rsidP="006F7FDE">
                        <w:pPr>
                          <w:rPr>
                            <w:sz w:val="20"/>
                          </w:rPr>
                        </w:pPr>
                        <w:r>
                          <w:rPr>
                            <w:b/>
                            <w:sz w:val="20"/>
                          </w:rPr>
                          <w:t xml:space="preserve">Technology </w:t>
                        </w:r>
                        <w:r w:rsidRPr="00076D27">
                          <w:rPr>
                            <w:b/>
                            <w:sz w:val="20"/>
                          </w:rPr>
                          <w:t xml:space="preserve">Upgradation Fund </w:t>
                        </w:r>
                        <w:r w:rsidRPr="00076D27">
                          <w:rPr>
                            <w:sz w:val="20"/>
                          </w:rPr>
                          <w:t xml:space="preserve">BDT 10 billion </w:t>
                        </w:r>
                      </w:p>
                      <w:p w:rsidR="00585A62" w:rsidRDefault="00585A62" w:rsidP="006F7FDE"/>
                    </w:txbxContent>
                  </v:textbox>
                </v:rect>
                <v:rect id="Rectangle 65" o:spid="_x0000_s1030" style="position:absolute;left:37228;top:7469;width:15921;height:66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" fillcolor="#92d050">
                  <v:textbox>
                    <w:txbxContent>
                      <w:p w:rsidR="00585A62" w:rsidRPr="00143CD2" w:rsidRDefault="00585A62" w:rsidP="006F7FDE">
                        <w:pPr>
                          <w:spacing w:after="0"/>
                          <w:rPr>
                            <w:b/>
                            <w:sz w:val="20"/>
                          </w:rPr>
                        </w:pPr>
                        <w:r w:rsidRPr="00143CD2">
                          <w:rPr>
                            <w:b/>
                            <w:sz w:val="20"/>
                          </w:rPr>
                          <w:t>Shariah Based Refinancing Schemes for Green Products</w:t>
                        </w:r>
                      </w:p>
                      <w:p w:rsidR="00585A62" w:rsidRPr="00143CD2" w:rsidRDefault="00585A62" w:rsidP="006F7FDE">
                        <w:pPr>
                          <w:spacing w:after="0"/>
                          <w:rPr>
                            <w:sz w:val="20"/>
                          </w:rPr>
                        </w:pPr>
                        <w:r w:rsidRPr="00143CD2">
                          <w:rPr>
                            <w:sz w:val="20"/>
                          </w:rPr>
                          <w:t>BDT 1.25 billion</w:t>
                        </w:r>
                      </w:p>
                    </w:txbxContent>
                  </v:textbox>
                </v:rect>
                <v:rect id="Rectangle 66" o:spid="_x0000_s1031" style="position:absolute;left:5549;top:436;width:16335;height:53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" fillcolor="#fff2cc [663]" strokecolor="#5b9bd5 [3208]">
                  <v:textbox>
                    <w:txbxContent>
                      <w:p w:rsidR="00585A62" w:rsidRPr="00076D27" w:rsidRDefault="00585A62" w:rsidP="006F7FDE">
                        <w:pPr>
                          <w:spacing w:after="0"/>
                          <w:rPr>
                            <w:b/>
                            <w:sz w:val="20"/>
                          </w:rPr>
                        </w:pPr>
                        <w:r>
                          <w:rPr>
                            <w:b/>
                            <w:sz w:val="20"/>
                          </w:rPr>
                          <w:t xml:space="preserve">Green Products and Initiatives </w:t>
                        </w:r>
                        <w:r w:rsidRPr="00076D27">
                          <w:rPr>
                            <w:sz w:val="20"/>
                          </w:rPr>
                          <w:t>BDT 10 billion</w:t>
                        </w:r>
                      </w:p>
                    </w:txbxContent>
                  </v:textbox>
                </v:re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AutoShape 67" o:spid="_x0000_s1032" type="#_x0000_t13" style="position:absolute;left:14307;top:9794;width:2674;height:13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" adj="18869" fillcolor="#00b050"/>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AutoShape 68" o:spid="_x0000_s1033" type="#_x0000_t67" style="position:absolute;left:20511;top:5789;width:1779;height:19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" adj="15562" fillcolor="#ed7d31 [3205]">
                  <v:textbox style="layout-flow:vertical-ideographic"/>
                </v:shape>
                <v:shape id="AutoShape 69" o:spid="_x0000_s1034" type="#_x0000_t67" style="position:absolute;left:28132;top:5791;width:1207;height:18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" adj="17344" fillcolor="#4472c4 [3204]">
                  <v:textbox style="layout-flow:vertical-ideographic"/>
                </v:shape>
                <v:shapetype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AutoShape 70" o:spid="_x0000_s1035" type="#_x0000_t66" style="position:absolute;left:34016;top:9630;width:3074;height:17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" adj="3060" fillcolor="red"/>
              </v:group>
            </w:pict>
          </mc:Fallback>
        </mc:AlternateContent>
      </w:r>
    </w:p>
    <w:p w:rsidR="006F7FDE" w:rsidRPr="00350FE5" w:rsidRDefault="006F7FDE" w:rsidP="009B4300">
      <w:pPr>
        <w:spacing w:after="0" w:line="276" w:lineRule="auto"/>
        <w:contextualSpacing/>
        <w:jc w:val="both"/>
        <w:rPr>
          <w:rFonts w:eastAsia="Times New Roman"/>
        </w:rPr>
      </w:pPr>
    </w:p>
    <w:p w:rsidR="006F7FDE" w:rsidRPr="00350FE5" w:rsidRDefault="006F7FDE" w:rsidP="009B4300">
      <w:pPr>
        <w:pStyle w:val="Default"/>
        <w:spacing w:line="276" w:lineRule="auto"/>
        <w:contextualSpacing/>
        <w:jc w:val="both"/>
        <w:rPr>
          <w:bCs/>
          <w:color w:val="000000" w:themeColor="text1"/>
        </w:rPr>
      </w:pPr>
    </w:p>
    <w:p w:rsidR="006F7FDE" w:rsidRPr="00350FE5" w:rsidRDefault="006F7FDE" w:rsidP="009B4300">
      <w:pPr>
        <w:pStyle w:val="Default"/>
        <w:spacing w:line="276" w:lineRule="auto"/>
        <w:contextualSpacing/>
        <w:jc w:val="both"/>
        <w:rPr>
          <w:bCs/>
          <w:color w:val="000000" w:themeColor="text1"/>
        </w:rPr>
      </w:pPr>
    </w:p>
    <w:p w:rsidR="006F7FDE" w:rsidRPr="00350FE5" w:rsidRDefault="006F7FDE" w:rsidP="009B4300">
      <w:pPr>
        <w:pStyle w:val="Default"/>
        <w:spacing w:line="276" w:lineRule="auto"/>
        <w:contextualSpacing/>
        <w:jc w:val="both"/>
        <w:rPr>
          <w:bCs/>
          <w:color w:val="000000" w:themeColor="text1"/>
        </w:rPr>
      </w:pPr>
    </w:p>
    <w:p w:rsidR="006F7FDE" w:rsidRPr="00350FE5" w:rsidRDefault="006F7FDE" w:rsidP="009B4300">
      <w:pPr>
        <w:pStyle w:val="Default"/>
        <w:spacing w:line="276" w:lineRule="auto"/>
        <w:contextualSpacing/>
        <w:jc w:val="both"/>
        <w:rPr>
          <w:bCs/>
          <w:color w:val="000000" w:themeColor="text1"/>
        </w:rPr>
      </w:pPr>
    </w:p>
    <w:p w:rsidR="006F7FDE" w:rsidRPr="00350FE5" w:rsidRDefault="006F7FDE" w:rsidP="009B4300">
      <w:pPr>
        <w:pStyle w:val="Default"/>
        <w:spacing w:line="276" w:lineRule="auto"/>
        <w:contextualSpacing/>
        <w:jc w:val="both"/>
        <w:rPr>
          <w:bCs/>
          <w:color w:val="000000" w:themeColor="text1"/>
        </w:rPr>
      </w:pPr>
    </w:p>
    <w:p w:rsidR="006F7FDE" w:rsidRPr="00350FE5" w:rsidRDefault="006F7FDE" w:rsidP="009B4300">
      <w:pPr>
        <w:pStyle w:val="Default"/>
        <w:spacing w:line="276" w:lineRule="auto"/>
        <w:contextualSpacing/>
        <w:jc w:val="both"/>
        <w:rPr>
          <w:bCs/>
          <w:color w:val="000000" w:themeColor="text1"/>
        </w:rPr>
      </w:pPr>
      <w:r w:rsidRPr="00350FE5">
        <w:rPr>
          <w:bCs/>
          <w:color w:val="000000" w:themeColor="text1"/>
        </w:rPr>
        <w:t xml:space="preserve">  </w:t>
      </w:r>
    </w:p>
    <w:p w:rsidR="00403E05" w:rsidRPr="00350FE5" w:rsidRDefault="00403E05" w:rsidP="009B4300">
      <w:pPr>
        <w:pStyle w:val="Default"/>
        <w:spacing w:line="276" w:lineRule="auto"/>
        <w:contextualSpacing/>
        <w:jc w:val="both"/>
        <w:rPr>
          <w:bCs/>
          <w:color w:val="000000" w:themeColor="text1"/>
        </w:rPr>
      </w:pPr>
    </w:p>
    <w:p w:rsidR="00403E05" w:rsidRPr="00350FE5" w:rsidRDefault="00403E05" w:rsidP="009B4300">
      <w:pPr>
        <w:pStyle w:val="Default"/>
        <w:spacing w:line="276" w:lineRule="auto"/>
        <w:contextualSpacing/>
        <w:jc w:val="both"/>
        <w:rPr>
          <w:bCs/>
          <w:color w:val="000000" w:themeColor="text1"/>
        </w:rPr>
      </w:pPr>
    </w:p>
    <w:p w:rsidR="00B6239A" w:rsidRPr="00350FE5" w:rsidRDefault="008D2C2C" w:rsidP="009B4300">
      <w:pPr>
        <w:pStyle w:val="Default"/>
        <w:spacing w:line="276" w:lineRule="auto"/>
        <w:contextualSpacing/>
        <w:jc w:val="both"/>
        <w:rPr>
          <w:b/>
          <w:color w:val="000000" w:themeColor="text1"/>
        </w:rPr>
      </w:pPr>
      <w:r w:rsidRPr="00350FE5">
        <w:rPr>
          <w:bCs/>
          <w:color w:val="000000" w:themeColor="text1"/>
        </w:rPr>
        <w:t>Figure 2</w:t>
      </w:r>
      <w:r w:rsidR="006F7FDE" w:rsidRPr="00350FE5">
        <w:rPr>
          <w:bCs/>
          <w:color w:val="000000" w:themeColor="text1"/>
        </w:rPr>
        <w:t>: BB Refina</w:t>
      </w:r>
      <w:r w:rsidR="00A316A5" w:rsidRPr="00350FE5">
        <w:rPr>
          <w:bCs/>
          <w:color w:val="000000" w:themeColor="text1"/>
        </w:rPr>
        <w:t>ncing Initiatives up to Q</w:t>
      </w:r>
      <w:r w:rsidR="00A316A5" w:rsidRPr="00350FE5">
        <w:rPr>
          <w:bCs/>
          <w:color w:val="000000" w:themeColor="text1"/>
          <w:vertAlign w:val="subscript"/>
        </w:rPr>
        <w:t xml:space="preserve">1, </w:t>
      </w:r>
      <w:r w:rsidR="00A316A5" w:rsidRPr="00350FE5">
        <w:rPr>
          <w:bCs/>
          <w:color w:val="000000" w:themeColor="text1"/>
        </w:rPr>
        <w:t>2024</w:t>
      </w:r>
      <w:r w:rsidR="00585962" w:rsidRPr="00350FE5">
        <w:rPr>
          <w:bCs/>
          <w:color w:val="000000" w:themeColor="text1"/>
        </w:rPr>
        <w:t xml:space="preserve">. </w:t>
      </w:r>
    </w:p>
    <w:p w:rsidR="00F31428" w:rsidRDefault="00F31428" w:rsidP="009B4300">
      <w:pPr>
        <w:pStyle w:val="Default"/>
        <w:spacing w:line="276" w:lineRule="auto"/>
        <w:contextualSpacing/>
        <w:jc w:val="both"/>
        <w:rPr>
          <w:b/>
          <w:color w:val="000000" w:themeColor="text1"/>
        </w:rPr>
      </w:pPr>
    </w:p>
    <w:p w:rsidR="00F31428" w:rsidRDefault="00F31428" w:rsidP="009B4300">
      <w:pPr>
        <w:pStyle w:val="Default"/>
        <w:spacing w:line="276" w:lineRule="auto"/>
        <w:contextualSpacing/>
        <w:jc w:val="both"/>
        <w:rPr>
          <w:b/>
          <w:color w:val="000000" w:themeColor="text1"/>
        </w:rPr>
      </w:pPr>
    </w:p>
    <w:p w:rsidR="00F31428" w:rsidRDefault="00F31428" w:rsidP="009B4300">
      <w:pPr>
        <w:pStyle w:val="Default"/>
        <w:spacing w:line="276" w:lineRule="auto"/>
        <w:contextualSpacing/>
        <w:jc w:val="both"/>
        <w:rPr>
          <w:b/>
          <w:color w:val="000000" w:themeColor="text1"/>
        </w:rPr>
      </w:pPr>
    </w:p>
    <w:p w:rsidR="00F31428" w:rsidRDefault="00F31428" w:rsidP="009B4300">
      <w:pPr>
        <w:pStyle w:val="Default"/>
        <w:spacing w:line="276" w:lineRule="auto"/>
        <w:contextualSpacing/>
        <w:jc w:val="both"/>
        <w:rPr>
          <w:b/>
          <w:color w:val="000000" w:themeColor="text1"/>
        </w:rPr>
      </w:pPr>
    </w:p>
    <w:p w:rsidR="00F31428" w:rsidRDefault="00F31428" w:rsidP="009B4300">
      <w:pPr>
        <w:pStyle w:val="Default"/>
        <w:spacing w:line="276" w:lineRule="auto"/>
        <w:contextualSpacing/>
        <w:jc w:val="both"/>
        <w:rPr>
          <w:b/>
          <w:color w:val="000000" w:themeColor="text1"/>
        </w:rPr>
      </w:pPr>
    </w:p>
    <w:p w:rsidR="00F31428" w:rsidRDefault="00F31428" w:rsidP="009B4300">
      <w:pPr>
        <w:pStyle w:val="Default"/>
        <w:spacing w:line="276" w:lineRule="auto"/>
        <w:contextualSpacing/>
        <w:jc w:val="both"/>
        <w:rPr>
          <w:b/>
          <w:color w:val="000000" w:themeColor="text1"/>
        </w:rPr>
      </w:pPr>
    </w:p>
    <w:p w:rsidR="00F31428" w:rsidRDefault="00F31428" w:rsidP="009B4300">
      <w:pPr>
        <w:pStyle w:val="Default"/>
        <w:spacing w:line="276" w:lineRule="auto"/>
        <w:contextualSpacing/>
        <w:jc w:val="both"/>
        <w:rPr>
          <w:b/>
          <w:color w:val="000000" w:themeColor="text1"/>
        </w:rPr>
      </w:pPr>
    </w:p>
    <w:p w:rsidR="00F31428" w:rsidRDefault="00F31428" w:rsidP="009B4300">
      <w:pPr>
        <w:pStyle w:val="Default"/>
        <w:spacing w:line="276" w:lineRule="auto"/>
        <w:contextualSpacing/>
        <w:jc w:val="both"/>
        <w:rPr>
          <w:b/>
          <w:color w:val="000000" w:themeColor="text1"/>
        </w:rPr>
      </w:pPr>
    </w:p>
    <w:p w:rsidR="00F31428" w:rsidRDefault="00F31428" w:rsidP="009B4300">
      <w:pPr>
        <w:pStyle w:val="Default"/>
        <w:spacing w:line="276" w:lineRule="auto"/>
        <w:contextualSpacing/>
        <w:jc w:val="both"/>
        <w:rPr>
          <w:b/>
          <w:color w:val="000000" w:themeColor="text1"/>
        </w:rPr>
      </w:pPr>
    </w:p>
    <w:p w:rsidR="00F31428" w:rsidRDefault="00F31428" w:rsidP="009B4300">
      <w:pPr>
        <w:pStyle w:val="Default"/>
        <w:spacing w:line="276" w:lineRule="auto"/>
        <w:contextualSpacing/>
        <w:jc w:val="both"/>
        <w:rPr>
          <w:b/>
          <w:color w:val="000000" w:themeColor="text1"/>
        </w:rPr>
      </w:pPr>
    </w:p>
    <w:p w:rsidR="00F31428" w:rsidRDefault="00F31428" w:rsidP="009B4300">
      <w:pPr>
        <w:pStyle w:val="Default"/>
        <w:spacing w:line="276" w:lineRule="auto"/>
        <w:contextualSpacing/>
        <w:jc w:val="both"/>
        <w:rPr>
          <w:b/>
          <w:color w:val="000000" w:themeColor="text1"/>
        </w:rPr>
      </w:pPr>
    </w:p>
    <w:p w:rsidR="006F7FDE" w:rsidRPr="00350FE5" w:rsidRDefault="00F31428" w:rsidP="009B4300">
      <w:pPr>
        <w:pStyle w:val="Default"/>
        <w:spacing w:line="276" w:lineRule="auto"/>
        <w:contextualSpacing/>
        <w:jc w:val="both"/>
        <w:rPr>
          <w:b/>
          <w:color w:val="000000" w:themeColor="text1"/>
        </w:rPr>
      </w:pPr>
      <w:r>
        <w:rPr>
          <w:b/>
          <w:color w:val="000000" w:themeColor="text1"/>
        </w:rPr>
        <w:t xml:space="preserve">4.2 </w:t>
      </w:r>
      <w:r w:rsidR="006F7FDE" w:rsidRPr="00350FE5">
        <w:rPr>
          <w:b/>
          <w:color w:val="000000" w:themeColor="text1"/>
        </w:rPr>
        <w:t>Category-wise Disbursement of BB's Refinance Scheme (in million BDT)</w:t>
      </w:r>
    </w:p>
    <w:p w:rsidR="00403E05" w:rsidRPr="00350FE5" w:rsidRDefault="00403E05" w:rsidP="009B4300">
      <w:pPr>
        <w:pStyle w:val="Default"/>
        <w:spacing w:line="276" w:lineRule="auto"/>
        <w:contextualSpacing/>
        <w:jc w:val="both"/>
        <w:rPr>
          <w:b/>
          <w:color w:val="000000" w:themeColor="text1"/>
        </w:rPr>
      </w:pPr>
    </w:p>
    <w:p w:rsidR="006F7FDE" w:rsidRPr="00350FE5" w:rsidRDefault="006F7FDE" w:rsidP="009B4300">
      <w:pPr>
        <w:pStyle w:val="Default"/>
        <w:spacing w:line="276" w:lineRule="auto"/>
        <w:contextualSpacing/>
        <w:jc w:val="both"/>
        <w:rPr>
          <w:color w:val="000000" w:themeColor="text1"/>
        </w:rPr>
      </w:pPr>
      <w:r w:rsidRPr="00350FE5">
        <w:rPr>
          <w:noProof/>
        </w:rPr>
        <w:lastRenderedPageBreak/>
        <w:drawing>
          <wp:inline distT="0" distB="0" distL="0" distR="0" wp14:anchorId="34CE1B4F" wp14:editId="61FA6E74">
            <wp:extent cx="3905250" cy="3086100"/>
            <wp:effectExtent l="0" t="0" r="0" b="0"/>
            <wp:docPr id="12" name="Chart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rsidR="006F7FDE" w:rsidRPr="00350FE5" w:rsidRDefault="006F7FDE" w:rsidP="009B4300">
      <w:pPr>
        <w:pStyle w:val="Default"/>
        <w:spacing w:line="276" w:lineRule="auto"/>
        <w:contextualSpacing/>
        <w:jc w:val="both"/>
        <w:rPr>
          <w:color w:val="000000" w:themeColor="text1"/>
        </w:rPr>
      </w:pPr>
      <w:r w:rsidRPr="00350FE5">
        <w:rPr>
          <w:color w:val="000000" w:themeColor="text1"/>
        </w:rPr>
        <w:t xml:space="preserve">Chart 1: The </w:t>
      </w:r>
      <w:r w:rsidR="00D51479" w:rsidRPr="00350FE5">
        <w:rPr>
          <w:color w:val="000000" w:themeColor="text1"/>
        </w:rPr>
        <w:t xml:space="preserve">Bangladesh bank </w:t>
      </w:r>
      <w:r w:rsidRPr="00350FE5">
        <w:rPr>
          <w:color w:val="000000" w:themeColor="text1"/>
        </w:rPr>
        <w:t>Refinan</w:t>
      </w:r>
      <w:r w:rsidR="00D51479" w:rsidRPr="00350FE5">
        <w:rPr>
          <w:color w:val="000000" w:themeColor="text1"/>
        </w:rPr>
        <w:t xml:space="preserve">ce Scheme for the Green </w:t>
      </w:r>
      <w:r w:rsidRPr="00350FE5">
        <w:rPr>
          <w:color w:val="000000" w:themeColor="text1"/>
        </w:rPr>
        <w:t>Initiatives from 2013 to 2023</w:t>
      </w:r>
    </w:p>
    <w:p w:rsidR="006F7FDE" w:rsidRPr="00350FE5" w:rsidRDefault="006F7FDE" w:rsidP="009B4300">
      <w:pPr>
        <w:pStyle w:val="Default"/>
        <w:spacing w:line="276" w:lineRule="auto"/>
        <w:contextualSpacing/>
        <w:jc w:val="both"/>
        <w:rPr>
          <w:color w:val="000000" w:themeColor="text1"/>
        </w:rPr>
      </w:pPr>
      <w:r w:rsidRPr="00350FE5">
        <w:rPr>
          <w:color w:val="000000" w:themeColor="text1"/>
        </w:rPr>
        <w:t>The chart 1 shows 14 products of BB’s refinance fund allotment for the commercial banks in Bangladesh. It shows 11 years grand total of loan disbursement where green industry holds first position accounting Tk. 2244.37 million (31.06%) of total term loan and vermicomposting belongs to the last position accounting Tk. 12.26 million (0.16%) of total term loan.</w:t>
      </w:r>
    </w:p>
    <w:p w:rsidR="006F7FDE" w:rsidRPr="00350FE5" w:rsidRDefault="006F7FDE" w:rsidP="009B4300">
      <w:pPr>
        <w:pStyle w:val="Default"/>
        <w:spacing w:line="276" w:lineRule="auto"/>
        <w:contextualSpacing/>
        <w:jc w:val="both"/>
        <w:rPr>
          <w:b/>
          <w:bCs/>
          <w:color w:val="000000" w:themeColor="text1"/>
        </w:rPr>
      </w:pPr>
    </w:p>
    <w:p w:rsidR="006F7FDE" w:rsidRPr="00350FE5" w:rsidRDefault="00F31428" w:rsidP="009B4300">
      <w:pPr>
        <w:pStyle w:val="Default"/>
        <w:spacing w:line="276" w:lineRule="auto"/>
        <w:contextualSpacing/>
        <w:jc w:val="both"/>
        <w:rPr>
          <w:b/>
          <w:bCs/>
          <w:color w:val="000000" w:themeColor="text1"/>
        </w:rPr>
      </w:pPr>
      <w:r>
        <w:rPr>
          <w:b/>
          <w:bCs/>
          <w:color w:val="000000" w:themeColor="text1"/>
        </w:rPr>
        <w:t xml:space="preserve">4.3 </w:t>
      </w:r>
      <w:r w:rsidR="006F7FDE" w:rsidRPr="00350FE5">
        <w:rPr>
          <w:b/>
          <w:bCs/>
          <w:color w:val="000000" w:themeColor="text1"/>
        </w:rPr>
        <w:t>Bangladesh Bank Sustainable Finance at a Glance in 2023</w:t>
      </w:r>
    </w:p>
    <w:p w:rsidR="006F7FDE" w:rsidRPr="00350FE5" w:rsidRDefault="00247BA3" w:rsidP="009B4300">
      <w:pPr>
        <w:pStyle w:val="Default"/>
        <w:spacing w:line="276" w:lineRule="auto"/>
        <w:contextualSpacing/>
        <w:jc w:val="both"/>
        <w:rPr>
          <w:bCs/>
          <w:color w:val="000000" w:themeColor="text1"/>
        </w:rPr>
      </w:pPr>
      <w:r w:rsidRPr="00350FE5">
        <w:rPr>
          <w:bCs/>
          <w:color w:val="000000" w:themeColor="text1"/>
        </w:rPr>
        <w:t>Table 2</w:t>
      </w:r>
      <w:r w:rsidR="006F7FDE" w:rsidRPr="00350FE5">
        <w:rPr>
          <w:bCs/>
          <w:color w:val="000000" w:themeColor="text1"/>
        </w:rPr>
        <w:t xml:space="preserve">: </w:t>
      </w:r>
      <w:r w:rsidR="006F7FDE" w:rsidRPr="00350FE5">
        <w:rPr>
          <w:color w:val="000000" w:themeColor="text1"/>
        </w:rPr>
        <w:t>Sustainable Finance</w:t>
      </w:r>
      <w:r w:rsidR="006F7FDE" w:rsidRPr="00350FE5">
        <w:rPr>
          <w:bCs/>
          <w:color w:val="000000" w:themeColor="text1"/>
        </w:rPr>
        <w:t xml:space="preserve"> (SF), </w:t>
      </w:r>
      <w:r w:rsidR="006F7FDE" w:rsidRPr="00350FE5">
        <w:rPr>
          <w:color w:val="000000" w:themeColor="text1"/>
        </w:rPr>
        <w:t>Green Finance (</w:t>
      </w:r>
      <w:r w:rsidR="006F7FDE" w:rsidRPr="00350FE5">
        <w:rPr>
          <w:bCs/>
          <w:color w:val="000000" w:themeColor="text1"/>
        </w:rPr>
        <w:t>GF), and</w:t>
      </w:r>
      <w:r w:rsidR="006F7FDE" w:rsidRPr="00350FE5">
        <w:rPr>
          <w:color w:val="000000" w:themeColor="text1"/>
        </w:rPr>
        <w:t xml:space="preserve"> Sustainable Linked Finance</w:t>
      </w:r>
      <w:r w:rsidR="006F7FDE" w:rsidRPr="00350FE5">
        <w:rPr>
          <w:bCs/>
          <w:color w:val="000000" w:themeColor="text1"/>
        </w:rPr>
        <w:t xml:space="preserve"> (SLF)</w:t>
      </w:r>
      <w:r w:rsidR="006F7FDE" w:rsidRPr="00350FE5">
        <w:rPr>
          <w:color w:val="000000" w:themeColor="text1"/>
        </w:rPr>
        <w:t xml:space="preserve"> (in million BDT)</w:t>
      </w:r>
    </w:p>
    <w:tbl>
      <w:tblPr>
        <w:tblW w:w="7802" w:type="dxa"/>
        <w:tblInd w:w="113" w:type="dxa"/>
        <w:tblLook w:val="04A0" w:firstRow="1" w:lastRow="0" w:firstColumn="1" w:lastColumn="0" w:noHBand="0" w:noVBand="1"/>
      </w:tblPr>
      <w:tblGrid>
        <w:gridCol w:w="3122"/>
        <w:gridCol w:w="1170"/>
        <w:gridCol w:w="1350"/>
        <w:gridCol w:w="1170"/>
        <w:gridCol w:w="1056"/>
      </w:tblGrid>
      <w:tr w:rsidR="006F7FDE" w:rsidRPr="00350FE5" w:rsidTr="0064112C">
        <w:trPr>
          <w:trHeight w:val="315"/>
        </w:trPr>
        <w:tc>
          <w:tcPr>
            <w:tcW w:w="3122" w:type="dxa"/>
            <w:tcBorders>
              <w:top w:val="single" w:sz="4" w:space="0" w:color="9BC2E6"/>
              <w:left w:val="single" w:sz="4" w:space="0" w:color="9BC2E6"/>
              <w:bottom w:val="single" w:sz="4" w:space="0" w:color="9BC2E6"/>
              <w:right w:val="nil"/>
            </w:tcBorders>
            <w:shd w:val="clear" w:color="5B9BD5" w:fill="5B9BD5"/>
            <w:noWrap/>
            <w:vAlign w:val="bottom"/>
            <w:hideMark/>
          </w:tcPr>
          <w:p w:rsidR="006F7FDE" w:rsidRPr="00350FE5" w:rsidRDefault="006F7FDE" w:rsidP="009B4300">
            <w:pPr>
              <w:spacing w:after="0" w:line="276" w:lineRule="auto"/>
              <w:contextualSpacing/>
              <w:jc w:val="both"/>
              <w:rPr>
                <w:bCs/>
                <w:color w:val="FFFFFF" w:themeColor="background1"/>
              </w:rPr>
            </w:pPr>
            <w:r w:rsidRPr="00350FE5">
              <w:rPr>
                <w:bCs/>
                <w:color w:val="FFFFFF" w:themeColor="background1"/>
              </w:rPr>
              <w:t>Issues</w:t>
            </w:r>
          </w:p>
        </w:tc>
        <w:tc>
          <w:tcPr>
            <w:tcW w:w="1170" w:type="dxa"/>
            <w:tcBorders>
              <w:top w:val="single" w:sz="4" w:space="0" w:color="9BC2E6"/>
              <w:left w:val="nil"/>
              <w:bottom w:val="single" w:sz="4" w:space="0" w:color="9BC2E6"/>
              <w:right w:val="nil"/>
            </w:tcBorders>
            <w:shd w:val="clear" w:color="5B9BD5" w:fill="5B9BD5"/>
            <w:noWrap/>
            <w:vAlign w:val="bottom"/>
            <w:hideMark/>
          </w:tcPr>
          <w:p w:rsidR="006F7FDE" w:rsidRPr="00350FE5" w:rsidRDefault="006F7FDE" w:rsidP="009B4300">
            <w:pPr>
              <w:spacing w:after="0" w:line="276" w:lineRule="auto"/>
              <w:contextualSpacing/>
              <w:jc w:val="both"/>
              <w:rPr>
                <w:bCs/>
                <w:color w:val="FFFFFF" w:themeColor="background1"/>
              </w:rPr>
            </w:pPr>
            <w:r w:rsidRPr="00350FE5">
              <w:rPr>
                <w:bCs/>
                <w:color w:val="FFFFFF" w:themeColor="background1"/>
              </w:rPr>
              <w:t>Q1</w:t>
            </w:r>
          </w:p>
        </w:tc>
        <w:tc>
          <w:tcPr>
            <w:tcW w:w="1350" w:type="dxa"/>
            <w:tcBorders>
              <w:top w:val="single" w:sz="4" w:space="0" w:color="9BC2E6"/>
              <w:left w:val="nil"/>
              <w:bottom w:val="single" w:sz="4" w:space="0" w:color="9BC2E6"/>
              <w:right w:val="nil"/>
            </w:tcBorders>
            <w:shd w:val="clear" w:color="5B9BD5" w:fill="5B9BD5"/>
            <w:noWrap/>
            <w:vAlign w:val="bottom"/>
            <w:hideMark/>
          </w:tcPr>
          <w:p w:rsidR="006F7FDE" w:rsidRPr="00350FE5" w:rsidRDefault="006F7FDE" w:rsidP="009B4300">
            <w:pPr>
              <w:spacing w:after="0" w:line="276" w:lineRule="auto"/>
              <w:contextualSpacing/>
              <w:jc w:val="both"/>
              <w:rPr>
                <w:bCs/>
                <w:color w:val="FFFFFF" w:themeColor="background1"/>
              </w:rPr>
            </w:pPr>
            <w:r w:rsidRPr="00350FE5">
              <w:rPr>
                <w:bCs/>
                <w:color w:val="FFFFFF" w:themeColor="background1"/>
              </w:rPr>
              <w:t>Q2</w:t>
            </w:r>
          </w:p>
        </w:tc>
        <w:tc>
          <w:tcPr>
            <w:tcW w:w="1170" w:type="dxa"/>
            <w:tcBorders>
              <w:top w:val="single" w:sz="4" w:space="0" w:color="9BC2E6"/>
              <w:left w:val="nil"/>
              <w:bottom w:val="single" w:sz="4" w:space="0" w:color="9BC2E6"/>
              <w:right w:val="nil"/>
            </w:tcBorders>
            <w:shd w:val="clear" w:color="5B9BD5" w:fill="5B9BD5"/>
            <w:noWrap/>
            <w:vAlign w:val="bottom"/>
            <w:hideMark/>
          </w:tcPr>
          <w:p w:rsidR="006F7FDE" w:rsidRPr="00350FE5" w:rsidRDefault="006F7FDE" w:rsidP="009B4300">
            <w:pPr>
              <w:spacing w:after="0" w:line="276" w:lineRule="auto"/>
              <w:contextualSpacing/>
              <w:jc w:val="both"/>
              <w:rPr>
                <w:bCs/>
                <w:color w:val="FFFFFF" w:themeColor="background1"/>
              </w:rPr>
            </w:pPr>
            <w:r w:rsidRPr="00350FE5">
              <w:rPr>
                <w:bCs/>
                <w:color w:val="FFFFFF" w:themeColor="background1"/>
              </w:rPr>
              <w:t>Q3</w:t>
            </w:r>
          </w:p>
        </w:tc>
        <w:tc>
          <w:tcPr>
            <w:tcW w:w="990" w:type="dxa"/>
            <w:tcBorders>
              <w:top w:val="single" w:sz="4" w:space="0" w:color="9BC2E6"/>
              <w:left w:val="nil"/>
              <w:bottom w:val="single" w:sz="4" w:space="0" w:color="9BC2E6"/>
              <w:right w:val="single" w:sz="4" w:space="0" w:color="9BC2E6"/>
            </w:tcBorders>
            <w:shd w:val="clear" w:color="5B9BD5" w:fill="5B9BD5"/>
            <w:noWrap/>
            <w:vAlign w:val="bottom"/>
            <w:hideMark/>
          </w:tcPr>
          <w:p w:rsidR="006F7FDE" w:rsidRPr="00350FE5" w:rsidRDefault="006F7FDE" w:rsidP="009B4300">
            <w:pPr>
              <w:spacing w:after="0" w:line="276" w:lineRule="auto"/>
              <w:contextualSpacing/>
              <w:jc w:val="both"/>
              <w:rPr>
                <w:bCs/>
                <w:color w:val="FFFFFF" w:themeColor="background1"/>
              </w:rPr>
            </w:pPr>
            <w:r w:rsidRPr="00350FE5">
              <w:rPr>
                <w:bCs/>
                <w:color w:val="FFFFFF" w:themeColor="background1"/>
              </w:rPr>
              <w:t>Q4</w:t>
            </w:r>
          </w:p>
        </w:tc>
      </w:tr>
      <w:tr w:rsidR="006F7FDE" w:rsidRPr="00350FE5" w:rsidTr="0064112C">
        <w:trPr>
          <w:trHeight w:val="300"/>
        </w:trPr>
        <w:tc>
          <w:tcPr>
            <w:tcW w:w="3122" w:type="dxa"/>
            <w:tcBorders>
              <w:top w:val="single" w:sz="4" w:space="0" w:color="9BC2E6"/>
              <w:left w:val="single" w:sz="4" w:space="0" w:color="9BC2E6"/>
              <w:bottom w:val="single" w:sz="4" w:space="0" w:color="9BC2E6"/>
              <w:right w:val="nil"/>
            </w:tcBorders>
            <w:shd w:val="clear" w:color="DDEBF7" w:fill="DDEBF7"/>
            <w:noWrap/>
            <w:vAlign w:val="bottom"/>
            <w:hideMark/>
          </w:tcPr>
          <w:p w:rsidR="006F7FDE" w:rsidRPr="00350FE5" w:rsidRDefault="006F7FDE" w:rsidP="009B4300">
            <w:pPr>
              <w:spacing w:after="0" w:line="276" w:lineRule="auto"/>
              <w:contextualSpacing/>
              <w:jc w:val="both"/>
            </w:pPr>
            <w:r w:rsidRPr="00350FE5">
              <w:t xml:space="preserve">Sustainable Finance </w:t>
            </w:r>
          </w:p>
        </w:tc>
        <w:tc>
          <w:tcPr>
            <w:tcW w:w="1170" w:type="dxa"/>
            <w:tcBorders>
              <w:top w:val="single" w:sz="4" w:space="0" w:color="9BC2E6"/>
              <w:left w:val="nil"/>
              <w:bottom w:val="single" w:sz="4" w:space="0" w:color="9BC2E6"/>
              <w:right w:val="nil"/>
            </w:tcBorders>
            <w:shd w:val="clear" w:color="DDEBF7" w:fill="DDEBF7"/>
            <w:noWrap/>
            <w:vAlign w:val="bottom"/>
            <w:hideMark/>
          </w:tcPr>
          <w:p w:rsidR="006F7FDE" w:rsidRPr="00350FE5" w:rsidRDefault="006F7FDE" w:rsidP="009B4300">
            <w:pPr>
              <w:spacing w:after="0" w:line="276" w:lineRule="auto"/>
              <w:contextualSpacing/>
              <w:jc w:val="both"/>
            </w:pPr>
            <w:r w:rsidRPr="00350FE5">
              <w:t>353879</w:t>
            </w:r>
          </w:p>
        </w:tc>
        <w:tc>
          <w:tcPr>
            <w:tcW w:w="1350" w:type="dxa"/>
            <w:tcBorders>
              <w:top w:val="single" w:sz="4" w:space="0" w:color="9BC2E6"/>
              <w:left w:val="nil"/>
              <w:bottom w:val="single" w:sz="4" w:space="0" w:color="9BC2E6"/>
              <w:right w:val="nil"/>
            </w:tcBorders>
            <w:shd w:val="clear" w:color="DDEBF7" w:fill="DDEBF7"/>
            <w:noWrap/>
            <w:vAlign w:val="bottom"/>
            <w:hideMark/>
          </w:tcPr>
          <w:p w:rsidR="006F7FDE" w:rsidRPr="00350FE5" w:rsidRDefault="006F7FDE" w:rsidP="009B4300">
            <w:pPr>
              <w:spacing w:after="0" w:line="276" w:lineRule="auto"/>
              <w:contextualSpacing/>
              <w:jc w:val="both"/>
            </w:pPr>
            <w:r w:rsidRPr="00350FE5">
              <w:t>351961.04</w:t>
            </w:r>
          </w:p>
        </w:tc>
        <w:tc>
          <w:tcPr>
            <w:tcW w:w="1170" w:type="dxa"/>
            <w:tcBorders>
              <w:top w:val="single" w:sz="4" w:space="0" w:color="9BC2E6"/>
              <w:left w:val="nil"/>
              <w:bottom w:val="single" w:sz="4" w:space="0" w:color="9BC2E6"/>
              <w:right w:val="nil"/>
            </w:tcBorders>
            <w:shd w:val="clear" w:color="DDEBF7" w:fill="DDEBF7"/>
            <w:noWrap/>
            <w:vAlign w:val="bottom"/>
            <w:hideMark/>
          </w:tcPr>
          <w:p w:rsidR="006F7FDE" w:rsidRPr="00350FE5" w:rsidRDefault="006F7FDE" w:rsidP="009B4300">
            <w:pPr>
              <w:spacing w:after="0" w:line="276" w:lineRule="auto"/>
              <w:contextualSpacing/>
              <w:jc w:val="both"/>
            </w:pPr>
            <w:r w:rsidRPr="00350FE5">
              <w:t>322964</w:t>
            </w:r>
          </w:p>
        </w:tc>
        <w:tc>
          <w:tcPr>
            <w:tcW w:w="990" w:type="dxa"/>
            <w:tcBorders>
              <w:top w:val="single" w:sz="4" w:space="0" w:color="9BC2E6"/>
              <w:left w:val="nil"/>
              <w:bottom w:val="single" w:sz="4" w:space="0" w:color="9BC2E6"/>
              <w:right w:val="single" w:sz="4" w:space="0" w:color="9BC2E6"/>
            </w:tcBorders>
            <w:shd w:val="clear" w:color="DDEBF7" w:fill="DDEBF7"/>
            <w:noWrap/>
            <w:vAlign w:val="bottom"/>
            <w:hideMark/>
          </w:tcPr>
          <w:p w:rsidR="006F7FDE" w:rsidRPr="00350FE5" w:rsidRDefault="006F7FDE" w:rsidP="009B4300">
            <w:pPr>
              <w:spacing w:after="0" w:line="276" w:lineRule="auto"/>
              <w:contextualSpacing/>
              <w:jc w:val="both"/>
            </w:pPr>
            <w:r w:rsidRPr="00350FE5">
              <w:t>8,78,268</w:t>
            </w:r>
          </w:p>
        </w:tc>
      </w:tr>
      <w:tr w:rsidR="006F7FDE" w:rsidRPr="00350FE5" w:rsidTr="0064112C">
        <w:trPr>
          <w:trHeight w:val="300"/>
        </w:trPr>
        <w:tc>
          <w:tcPr>
            <w:tcW w:w="3122" w:type="dxa"/>
            <w:tcBorders>
              <w:top w:val="single" w:sz="4" w:space="0" w:color="9BC2E6"/>
              <w:left w:val="single" w:sz="4" w:space="0" w:color="9BC2E6"/>
              <w:bottom w:val="single" w:sz="4" w:space="0" w:color="9BC2E6"/>
              <w:right w:val="nil"/>
            </w:tcBorders>
            <w:shd w:val="clear" w:color="auto" w:fill="auto"/>
            <w:noWrap/>
            <w:vAlign w:val="bottom"/>
            <w:hideMark/>
          </w:tcPr>
          <w:p w:rsidR="006F7FDE" w:rsidRPr="00350FE5" w:rsidRDefault="006F7FDE" w:rsidP="009B4300">
            <w:pPr>
              <w:spacing w:after="0" w:line="276" w:lineRule="auto"/>
              <w:contextualSpacing/>
              <w:jc w:val="both"/>
            </w:pPr>
            <w:r w:rsidRPr="00350FE5">
              <w:t xml:space="preserve">Green Finance </w:t>
            </w:r>
          </w:p>
        </w:tc>
        <w:tc>
          <w:tcPr>
            <w:tcW w:w="1170" w:type="dxa"/>
            <w:tcBorders>
              <w:top w:val="single" w:sz="4" w:space="0" w:color="9BC2E6"/>
              <w:left w:val="nil"/>
              <w:bottom w:val="single" w:sz="4" w:space="0" w:color="9BC2E6"/>
              <w:right w:val="nil"/>
            </w:tcBorders>
            <w:shd w:val="clear" w:color="auto" w:fill="auto"/>
            <w:noWrap/>
            <w:vAlign w:val="bottom"/>
            <w:hideMark/>
          </w:tcPr>
          <w:p w:rsidR="006F7FDE" w:rsidRPr="00350FE5" w:rsidRDefault="006F7FDE" w:rsidP="009B4300">
            <w:pPr>
              <w:spacing w:after="0" w:line="276" w:lineRule="auto"/>
              <w:contextualSpacing/>
              <w:jc w:val="both"/>
            </w:pPr>
            <w:r w:rsidRPr="00350FE5">
              <w:t>27759</w:t>
            </w:r>
          </w:p>
        </w:tc>
        <w:tc>
          <w:tcPr>
            <w:tcW w:w="1350" w:type="dxa"/>
            <w:tcBorders>
              <w:top w:val="single" w:sz="4" w:space="0" w:color="9BC2E6"/>
              <w:left w:val="nil"/>
              <w:bottom w:val="single" w:sz="4" w:space="0" w:color="9BC2E6"/>
              <w:right w:val="nil"/>
            </w:tcBorders>
            <w:shd w:val="clear" w:color="auto" w:fill="auto"/>
            <w:noWrap/>
            <w:vAlign w:val="bottom"/>
            <w:hideMark/>
          </w:tcPr>
          <w:p w:rsidR="006F7FDE" w:rsidRPr="00350FE5" w:rsidRDefault="006F7FDE" w:rsidP="009B4300">
            <w:pPr>
              <w:spacing w:after="0" w:line="276" w:lineRule="auto"/>
              <w:contextualSpacing/>
              <w:jc w:val="both"/>
            </w:pPr>
            <w:r w:rsidRPr="00350FE5">
              <w:t>31441</w:t>
            </w:r>
          </w:p>
        </w:tc>
        <w:tc>
          <w:tcPr>
            <w:tcW w:w="1170" w:type="dxa"/>
            <w:tcBorders>
              <w:top w:val="single" w:sz="4" w:space="0" w:color="9BC2E6"/>
              <w:left w:val="nil"/>
              <w:bottom w:val="single" w:sz="4" w:space="0" w:color="9BC2E6"/>
              <w:right w:val="nil"/>
            </w:tcBorders>
            <w:shd w:val="clear" w:color="auto" w:fill="auto"/>
            <w:noWrap/>
            <w:vAlign w:val="bottom"/>
            <w:hideMark/>
          </w:tcPr>
          <w:p w:rsidR="006F7FDE" w:rsidRPr="00350FE5" w:rsidRDefault="006F7FDE" w:rsidP="009B4300">
            <w:pPr>
              <w:spacing w:after="0" w:line="276" w:lineRule="auto"/>
              <w:contextualSpacing/>
              <w:jc w:val="both"/>
            </w:pPr>
            <w:r w:rsidRPr="00350FE5">
              <w:t>36044</w:t>
            </w:r>
          </w:p>
        </w:tc>
        <w:tc>
          <w:tcPr>
            <w:tcW w:w="990" w:type="dxa"/>
            <w:tcBorders>
              <w:top w:val="single" w:sz="4" w:space="0" w:color="9BC2E6"/>
              <w:left w:val="nil"/>
              <w:bottom w:val="single" w:sz="4" w:space="0" w:color="9BC2E6"/>
              <w:right w:val="single" w:sz="4" w:space="0" w:color="9BC2E6"/>
            </w:tcBorders>
            <w:shd w:val="clear" w:color="auto" w:fill="auto"/>
            <w:noWrap/>
            <w:vAlign w:val="bottom"/>
            <w:hideMark/>
          </w:tcPr>
          <w:p w:rsidR="006F7FDE" w:rsidRPr="00350FE5" w:rsidRDefault="006F7FDE" w:rsidP="009B4300">
            <w:pPr>
              <w:spacing w:after="0" w:line="276" w:lineRule="auto"/>
              <w:contextualSpacing/>
              <w:jc w:val="both"/>
            </w:pPr>
            <w:r w:rsidRPr="00350FE5">
              <w:t>64088</w:t>
            </w:r>
          </w:p>
        </w:tc>
      </w:tr>
      <w:tr w:rsidR="006F7FDE" w:rsidRPr="00350FE5" w:rsidTr="0064112C">
        <w:trPr>
          <w:trHeight w:val="300"/>
        </w:trPr>
        <w:tc>
          <w:tcPr>
            <w:tcW w:w="3122" w:type="dxa"/>
            <w:tcBorders>
              <w:top w:val="single" w:sz="4" w:space="0" w:color="9BC2E6"/>
              <w:left w:val="single" w:sz="4" w:space="0" w:color="9BC2E6"/>
              <w:bottom w:val="single" w:sz="4" w:space="0" w:color="9BC2E6"/>
              <w:right w:val="nil"/>
            </w:tcBorders>
            <w:shd w:val="clear" w:color="DDEBF7" w:fill="DDEBF7"/>
            <w:noWrap/>
            <w:vAlign w:val="bottom"/>
            <w:hideMark/>
          </w:tcPr>
          <w:p w:rsidR="006F7FDE" w:rsidRPr="00350FE5" w:rsidRDefault="006F7FDE" w:rsidP="009B4300">
            <w:pPr>
              <w:spacing w:after="0" w:line="276" w:lineRule="auto"/>
              <w:contextualSpacing/>
              <w:jc w:val="both"/>
            </w:pPr>
            <w:r w:rsidRPr="00350FE5">
              <w:t xml:space="preserve">Sustainable Linked Finance </w:t>
            </w:r>
          </w:p>
        </w:tc>
        <w:tc>
          <w:tcPr>
            <w:tcW w:w="1170" w:type="dxa"/>
            <w:tcBorders>
              <w:top w:val="single" w:sz="4" w:space="0" w:color="9BC2E6"/>
              <w:left w:val="nil"/>
              <w:bottom w:val="single" w:sz="4" w:space="0" w:color="9BC2E6"/>
              <w:right w:val="nil"/>
            </w:tcBorders>
            <w:shd w:val="clear" w:color="DDEBF7" w:fill="DDEBF7"/>
            <w:noWrap/>
            <w:vAlign w:val="bottom"/>
            <w:hideMark/>
          </w:tcPr>
          <w:p w:rsidR="006F7FDE" w:rsidRPr="00350FE5" w:rsidRDefault="006F7FDE" w:rsidP="009B4300">
            <w:pPr>
              <w:spacing w:after="0" w:line="276" w:lineRule="auto"/>
              <w:contextualSpacing/>
              <w:jc w:val="both"/>
            </w:pPr>
            <w:r w:rsidRPr="00350FE5">
              <w:t>326120</w:t>
            </w:r>
          </w:p>
        </w:tc>
        <w:tc>
          <w:tcPr>
            <w:tcW w:w="1350" w:type="dxa"/>
            <w:tcBorders>
              <w:top w:val="single" w:sz="4" w:space="0" w:color="9BC2E6"/>
              <w:left w:val="nil"/>
              <w:bottom w:val="single" w:sz="4" w:space="0" w:color="9BC2E6"/>
              <w:right w:val="nil"/>
            </w:tcBorders>
            <w:shd w:val="clear" w:color="DDEBF7" w:fill="DDEBF7"/>
            <w:noWrap/>
            <w:vAlign w:val="bottom"/>
            <w:hideMark/>
          </w:tcPr>
          <w:p w:rsidR="006F7FDE" w:rsidRPr="00350FE5" w:rsidRDefault="006F7FDE" w:rsidP="009B4300">
            <w:pPr>
              <w:spacing w:after="0" w:line="276" w:lineRule="auto"/>
              <w:contextualSpacing/>
              <w:jc w:val="both"/>
            </w:pPr>
            <w:r w:rsidRPr="00350FE5">
              <w:t>320519</w:t>
            </w:r>
          </w:p>
        </w:tc>
        <w:tc>
          <w:tcPr>
            <w:tcW w:w="1170" w:type="dxa"/>
            <w:tcBorders>
              <w:top w:val="single" w:sz="4" w:space="0" w:color="9BC2E6"/>
              <w:left w:val="nil"/>
              <w:bottom w:val="single" w:sz="4" w:space="0" w:color="9BC2E6"/>
              <w:right w:val="nil"/>
            </w:tcBorders>
            <w:shd w:val="clear" w:color="DDEBF7" w:fill="DDEBF7"/>
            <w:noWrap/>
            <w:vAlign w:val="bottom"/>
            <w:hideMark/>
          </w:tcPr>
          <w:p w:rsidR="006F7FDE" w:rsidRPr="00350FE5" w:rsidRDefault="006F7FDE" w:rsidP="009B4300">
            <w:pPr>
              <w:spacing w:after="0" w:line="276" w:lineRule="auto"/>
              <w:contextualSpacing/>
              <w:jc w:val="both"/>
            </w:pPr>
            <w:r w:rsidRPr="00350FE5">
              <w:t>286920</w:t>
            </w:r>
          </w:p>
        </w:tc>
        <w:tc>
          <w:tcPr>
            <w:tcW w:w="990" w:type="dxa"/>
            <w:tcBorders>
              <w:top w:val="single" w:sz="4" w:space="0" w:color="9BC2E6"/>
              <w:left w:val="nil"/>
              <w:bottom w:val="single" w:sz="4" w:space="0" w:color="9BC2E6"/>
              <w:right w:val="single" w:sz="4" w:space="0" w:color="9BC2E6"/>
            </w:tcBorders>
            <w:shd w:val="clear" w:color="DDEBF7" w:fill="DDEBF7"/>
            <w:noWrap/>
            <w:vAlign w:val="bottom"/>
            <w:hideMark/>
          </w:tcPr>
          <w:p w:rsidR="006F7FDE" w:rsidRPr="00350FE5" w:rsidRDefault="006F7FDE" w:rsidP="009B4300">
            <w:pPr>
              <w:spacing w:after="0" w:line="276" w:lineRule="auto"/>
              <w:contextualSpacing/>
              <w:jc w:val="both"/>
            </w:pPr>
            <w:r w:rsidRPr="00350FE5">
              <w:t>8,14,180</w:t>
            </w:r>
          </w:p>
        </w:tc>
      </w:tr>
    </w:tbl>
    <w:p w:rsidR="006F7FDE" w:rsidRPr="00350FE5" w:rsidRDefault="006F7FDE" w:rsidP="009B4300">
      <w:pPr>
        <w:pStyle w:val="NormalWeb"/>
        <w:spacing w:before="0" w:beforeAutospacing="0" w:after="0" w:afterAutospacing="0" w:line="276" w:lineRule="auto"/>
        <w:contextualSpacing/>
        <w:jc w:val="both"/>
        <w:rPr>
          <w:rFonts w:eastAsia="Times New Roman"/>
        </w:rPr>
      </w:pPr>
      <w:r w:rsidRPr="00350FE5">
        <w:rPr>
          <w:bCs/>
        </w:rPr>
        <w:t xml:space="preserve"> </w:t>
      </w:r>
      <w:r w:rsidR="00F744D7" w:rsidRPr="00350FE5">
        <w:t>Table 1</w:t>
      </w:r>
      <w:r w:rsidRPr="00350FE5">
        <w:t xml:space="preserve"> shows that, in the Q4 2023 period, banks' contribution to green finance was BDT 64088 million, which was BDT 36044 million greater than the Q3 2023 period. In Q4 2023, banks' contribution to sustainable finance was BDT 878268 million, which was BDT 322964 million greater than the Q3 2023 period. Both types of financing are in an upward mode.  Sustainable finance is the summation of green finance and sustainable linked finance.</w:t>
      </w:r>
    </w:p>
    <w:p w:rsidR="006F7FDE" w:rsidRPr="00350FE5" w:rsidRDefault="00F31428" w:rsidP="009B4300">
      <w:pPr>
        <w:spacing w:after="0" w:line="276" w:lineRule="auto"/>
        <w:contextualSpacing/>
        <w:jc w:val="both"/>
        <w:rPr>
          <w:b/>
          <w:bCs/>
        </w:rPr>
      </w:pPr>
      <w:r>
        <w:rPr>
          <w:b/>
          <w:bCs/>
        </w:rPr>
        <w:t xml:space="preserve">4.4 </w:t>
      </w:r>
      <w:r w:rsidR="006F7FDE" w:rsidRPr="00350FE5">
        <w:rPr>
          <w:b/>
          <w:bCs/>
        </w:rPr>
        <w:t>The status of GF in Bangladesh based on bank types</w:t>
      </w:r>
    </w:p>
    <w:p w:rsidR="00B6239A" w:rsidRPr="00350FE5" w:rsidRDefault="006F7FDE" w:rsidP="009B4300">
      <w:pPr>
        <w:spacing w:after="0" w:line="276" w:lineRule="auto"/>
        <w:contextualSpacing/>
        <w:jc w:val="both"/>
        <w:rPr>
          <w:bCs/>
        </w:rPr>
      </w:pPr>
      <w:r w:rsidRPr="00350FE5">
        <w:rPr>
          <w:bCs/>
        </w:rPr>
        <w:t>To date, 43 commercial banks are functioning under Bangladesh Bank's jurisdiction. The table 9 represents the green project's financing by four categories of banks in 2023. Among the four types of banks, PCBs are the highest contributors to Green Finance accounting for 40.01% of the total green finance, followed by FCBs 16.99%, SOCBs (6.10%), and SDBs (18.88%).</w:t>
      </w:r>
    </w:p>
    <w:p w:rsidR="006F7FDE" w:rsidRPr="00350FE5" w:rsidRDefault="006F7FDE" w:rsidP="009B4300">
      <w:pPr>
        <w:spacing w:after="0" w:line="276" w:lineRule="auto"/>
        <w:contextualSpacing/>
        <w:jc w:val="both"/>
        <w:rPr>
          <w:bCs/>
        </w:rPr>
      </w:pPr>
      <w:r w:rsidRPr="00350FE5">
        <w:rPr>
          <w:noProof/>
        </w:rPr>
        <w:lastRenderedPageBreak/>
        <w:drawing>
          <wp:inline distT="0" distB="0" distL="0" distR="0" wp14:anchorId="2496AD24" wp14:editId="437CF41A">
            <wp:extent cx="3676650" cy="2343150"/>
            <wp:effectExtent l="0" t="0" r="0" b="0"/>
            <wp:docPr id="13" name="Chart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6F7FDE" w:rsidRPr="00350FE5" w:rsidRDefault="00C71871" w:rsidP="009B4300">
      <w:pPr>
        <w:spacing w:after="0" w:line="276" w:lineRule="auto"/>
        <w:contextualSpacing/>
        <w:jc w:val="both"/>
        <w:rPr>
          <w:bCs/>
        </w:rPr>
      </w:pPr>
      <w:r w:rsidRPr="00350FE5">
        <w:rPr>
          <w:bCs/>
        </w:rPr>
        <w:t>Chart 2</w:t>
      </w:r>
      <w:r w:rsidR="006F7FDE" w:rsidRPr="00350FE5">
        <w:rPr>
          <w:bCs/>
        </w:rPr>
        <w:t>: G</w:t>
      </w:r>
      <w:r w:rsidR="00B6239A" w:rsidRPr="00350FE5">
        <w:rPr>
          <w:bCs/>
        </w:rPr>
        <w:t xml:space="preserve">reen </w:t>
      </w:r>
      <w:r w:rsidR="006F7FDE" w:rsidRPr="00350FE5">
        <w:rPr>
          <w:bCs/>
        </w:rPr>
        <w:t>F</w:t>
      </w:r>
      <w:r w:rsidR="00B6239A" w:rsidRPr="00350FE5">
        <w:rPr>
          <w:bCs/>
        </w:rPr>
        <w:t>inance</w:t>
      </w:r>
      <w:r w:rsidR="006F7FDE" w:rsidRPr="00350FE5">
        <w:rPr>
          <w:bCs/>
        </w:rPr>
        <w:t xml:space="preserve"> trend line</w:t>
      </w:r>
    </w:p>
    <w:p w:rsidR="006F7FDE" w:rsidRPr="00350FE5" w:rsidRDefault="00C71871" w:rsidP="009B4300">
      <w:pPr>
        <w:spacing w:after="0" w:line="276" w:lineRule="auto"/>
        <w:contextualSpacing/>
        <w:jc w:val="both"/>
        <w:rPr>
          <w:bCs/>
        </w:rPr>
      </w:pPr>
      <w:r w:rsidRPr="00350FE5">
        <w:rPr>
          <w:bCs/>
        </w:rPr>
        <w:t>Chart 2</w:t>
      </w:r>
      <w:r w:rsidR="006F7FDE" w:rsidRPr="00350FE5">
        <w:rPr>
          <w:bCs/>
        </w:rPr>
        <w:t xml:space="preserve"> shows the banks' GF trend over the last seven years. PCBs show a positive upward growth trend from 2015 to 2019 but a slight downward trend in 2020, whereas FCBs show an upward trend in 2019 and 2020. So, it can be said that Private Commercial Banks (PCBs) play a significant role in GF by investing in green projects.</w:t>
      </w:r>
    </w:p>
    <w:p w:rsidR="00F31428" w:rsidRDefault="00F31428" w:rsidP="009B4300">
      <w:pPr>
        <w:spacing w:after="0" w:line="276" w:lineRule="auto"/>
        <w:contextualSpacing/>
        <w:jc w:val="both"/>
        <w:rPr>
          <w:b/>
          <w:bCs/>
        </w:rPr>
      </w:pPr>
    </w:p>
    <w:p w:rsidR="006F7FDE" w:rsidRPr="00350FE5" w:rsidRDefault="006F7FDE" w:rsidP="009B4300">
      <w:pPr>
        <w:spacing w:after="0" w:line="276" w:lineRule="auto"/>
        <w:contextualSpacing/>
        <w:jc w:val="both"/>
        <w:rPr>
          <w:b/>
          <w:bCs/>
        </w:rPr>
      </w:pPr>
      <w:r w:rsidRPr="00350FE5">
        <w:rPr>
          <w:b/>
          <w:bCs/>
        </w:rPr>
        <w:t xml:space="preserve"> </w:t>
      </w:r>
      <w:r w:rsidR="00F31428">
        <w:rPr>
          <w:b/>
          <w:bCs/>
        </w:rPr>
        <w:t xml:space="preserve">4.5 </w:t>
      </w:r>
      <w:r w:rsidRPr="00350FE5">
        <w:rPr>
          <w:b/>
          <w:bCs/>
        </w:rPr>
        <w:t xml:space="preserve">Overview of Sustainable Finance (SF) and Green Finance (GF) by Banks </w:t>
      </w:r>
    </w:p>
    <w:p w:rsidR="006F7FDE" w:rsidRPr="00350FE5" w:rsidRDefault="006F7FDE" w:rsidP="009B4300">
      <w:pPr>
        <w:spacing w:after="0" w:line="276" w:lineRule="auto"/>
        <w:contextualSpacing/>
        <w:jc w:val="both"/>
        <w:rPr>
          <w:bCs/>
        </w:rPr>
      </w:pPr>
      <w:r w:rsidRPr="00350FE5">
        <w:rPr>
          <w:bCs/>
        </w:rPr>
        <w:t>This study investigates the loan disbursement by banks in SF and GF for Q4, 2023, separately and exhibits a summary for the whole year 2023. Charts Nos. 9 and 10 show a glimpse of SF and GF by banks</w:t>
      </w:r>
      <w:r w:rsidR="009D3DBE" w:rsidRPr="00350FE5">
        <w:rPr>
          <w:bCs/>
        </w:rPr>
        <w:t xml:space="preserve"> from January to December 2023.</w:t>
      </w:r>
    </w:p>
    <w:p w:rsidR="006F7FDE" w:rsidRPr="00350FE5" w:rsidRDefault="006F7FDE" w:rsidP="009B4300">
      <w:pPr>
        <w:spacing w:after="0" w:line="276" w:lineRule="auto"/>
        <w:contextualSpacing/>
        <w:jc w:val="both"/>
        <w:rPr>
          <w:rFonts w:eastAsia="Times New Roman"/>
          <w:bCs/>
        </w:rPr>
      </w:pPr>
      <w:r w:rsidRPr="00350FE5">
        <w:rPr>
          <w:rFonts w:eastAsia="Times New Roman"/>
          <w:bCs/>
        </w:rPr>
        <w:t>Target Attainment is Disbursement in SF ≥ 20% of total loan disbursement</w:t>
      </w:r>
    </w:p>
    <w:p w:rsidR="006F7FDE" w:rsidRPr="00350FE5" w:rsidRDefault="006F7FDE" w:rsidP="009B4300">
      <w:pPr>
        <w:spacing w:after="0" w:line="276" w:lineRule="auto"/>
        <w:contextualSpacing/>
        <w:jc w:val="both"/>
        <w:rPr>
          <w:bCs/>
        </w:rPr>
      </w:pPr>
      <w:r w:rsidRPr="00350FE5">
        <w:rPr>
          <w:noProof/>
        </w:rPr>
        <w:drawing>
          <wp:inline distT="0" distB="0" distL="0" distR="0" wp14:anchorId="2BAD61DD" wp14:editId="35901BA6">
            <wp:extent cx="4235450" cy="3310255"/>
            <wp:effectExtent l="0" t="0" r="12700" b="4445"/>
            <wp:docPr id="14" name="Chart 14"/>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6F7FDE" w:rsidRPr="00350FE5" w:rsidRDefault="00C71871" w:rsidP="009B4300">
      <w:pPr>
        <w:spacing w:after="0" w:line="276" w:lineRule="auto"/>
        <w:contextualSpacing/>
        <w:jc w:val="both"/>
        <w:rPr>
          <w:bCs/>
        </w:rPr>
      </w:pPr>
      <w:r w:rsidRPr="00350FE5">
        <w:rPr>
          <w:bCs/>
        </w:rPr>
        <w:t>Chart 3</w:t>
      </w:r>
      <w:r w:rsidR="006F7FDE" w:rsidRPr="00350FE5">
        <w:rPr>
          <w:bCs/>
        </w:rPr>
        <w:t>: Sustainable Finance of Q4, 202</w:t>
      </w:r>
      <w:r w:rsidR="00B6239A" w:rsidRPr="00350FE5">
        <w:rPr>
          <w:bCs/>
        </w:rPr>
        <w:t>3 of different commercial banks</w:t>
      </w:r>
    </w:p>
    <w:p w:rsidR="006F7FDE" w:rsidRPr="00350FE5" w:rsidRDefault="00C71871" w:rsidP="009B4300">
      <w:pPr>
        <w:spacing w:after="0" w:line="276" w:lineRule="auto"/>
        <w:contextualSpacing/>
        <w:jc w:val="both"/>
        <w:rPr>
          <w:rFonts w:eastAsia="Times New Roman"/>
          <w:bCs/>
        </w:rPr>
      </w:pPr>
      <w:r w:rsidRPr="00350FE5">
        <w:rPr>
          <w:bCs/>
        </w:rPr>
        <w:t>Chart 3</w:t>
      </w:r>
      <w:r w:rsidR="006F7FDE" w:rsidRPr="00350FE5">
        <w:rPr>
          <w:bCs/>
        </w:rPr>
        <w:t xml:space="preserve"> shows that only 17 commercial banks fulfil the sustainable financing target SF ≥20% of total term loan disbursement set by Bangladesh Bank. The chart shows that in Q4, 2023, 17 banks out of 61 had exposure to green finance, where 16 PCBs were seen. </w:t>
      </w:r>
      <w:r w:rsidR="006F7FDE" w:rsidRPr="00350FE5">
        <w:rPr>
          <w:bCs/>
        </w:rPr>
        <w:lastRenderedPageBreak/>
        <w:t>Among them, Bangladesh Krishi Bank stood in the top position at 56.48%, next to NRB Commercial Bank PLC at 42.86%, BRAC Bank PLC at 41.32%, and Jamuna Bank PLC stood last at 21.57%.</w:t>
      </w:r>
    </w:p>
    <w:p w:rsidR="006F7FDE" w:rsidRPr="00350FE5" w:rsidRDefault="006F7FDE" w:rsidP="009B4300">
      <w:pPr>
        <w:spacing w:after="0" w:line="276" w:lineRule="auto"/>
        <w:contextualSpacing/>
        <w:jc w:val="both"/>
        <w:rPr>
          <w:rFonts w:eastAsia="Times New Roman"/>
          <w:bCs/>
        </w:rPr>
      </w:pPr>
    </w:p>
    <w:p w:rsidR="006F7FDE" w:rsidRPr="00350FE5" w:rsidRDefault="006F7FDE" w:rsidP="009B4300">
      <w:pPr>
        <w:spacing w:after="0" w:line="276" w:lineRule="auto"/>
        <w:jc w:val="both"/>
        <w:rPr>
          <w:rFonts w:eastAsia="Times New Roman"/>
          <w:bCs/>
        </w:rPr>
      </w:pPr>
      <w:r w:rsidRPr="00350FE5">
        <w:rPr>
          <w:rFonts w:eastAsia="Times New Roman"/>
          <w:bCs/>
        </w:rPr>
        <w:br w:type="page"/>
      </w:r>
    </w:p>
    <w:p w:rsidR="006F7FDE" w:rsidRDefault="00F31428" w:rsidP="009B4300">
      <w:pPr>
        <w:spacing w:after="0" w:line="276" w:lineRule="auto"/>
        <w:contextualSpacing/>
        <w:jc w:val="both"/>
        <w:rPr>
          <w:rFonts w:eastAsia="Times New Roman"/>
          <w:b/>
          <w:bCs/>
        </w:rPr>
      </w:pPr>
      <w:r>
        <w:rPr>
          <w:rFonts w:eastAsia="Times New Roman"/>
          <w:b/>
          <w:bCs/>
        </w:rPr>
        <w:lastRenderedPageBreak/>
        <w:t xml:space="preserve">4.6 </w:t>
      </w:r>
      <w:r w:rsidR="006F7FDE" w:rsidRPr="00350FE5">
        <w:rPr>
          <w:rFonts w:eastAsia="Times New Roman"/>
          <w:b/>
          <w:bCs/>
        </w:rPr>
        <w:t xml:space="preserve">Target Attainment </w:t>
      </w:r>
      <w:r w:rsidR="00682B8D" w:rsidRPr="00350FE5">
        <w:rPr>
          <w:rFonts w:eastAsia="Times New Roman"/>
          <w:b/>
          <w:bCs/>
        </w:rPr>
        <w:t>green finance</w:t>
      </w:r>
      <w:r w:rsidR="006F7FDE" w:rsidRPr="00350FE5">
        <w:rPr>
          <w:rFonts w:eastAsia="Times New Roman"/>
          <w:b/>
          <w:bCs/>
        </w:rPr>
        <w:t xml:space="preserve"> Up to Q</w:t>
      </w:r>
      <w:r w:rsidR="006F7FDE" w:rsidRPr="00350FE5">
        <w:rPr>
          <w:rFonts w:eastAsia="Times New Roman"/>
          <w:b/>
          <w:bCs/>
          <w:vertAlign w:val="subscript"/>
        </w:rPr>
        <w:t>4</w:t>
      </w:r>
      <w:r w:rsidR="006F7FDE" w:rsidRPr="00350FE5">
        <w:rPr>
          <w:rFonts w:eastAsia="Times New Roman"/>
          <w:b/>
          <w:bCs/>
        </w:rPr>
        <w:t>, 2023</w:t>
      </w:r>
    </w:p>
    <w:p w:rsidR="00F31428" w:rsidRPr="00350FE5" w:rsidRDefault="00F31428" w:rsidP="009B4300">
      <w:pPr>
        <w:spacing w:after="0" w:line="276" w:lineRule="auto"/>
        <w:contextualSpacing/>
        <w:jc w:val="both"/>
        <w:rPr>
          <w:rFonts w:eastAsia="Times New Roman"/>
          <w:b/>
          <w:bCs/>
        </w:rPr>
      </w:pPr>
    </w:p>
    <w:p w:rsidR="006F7FDE" w:rsidRPr="00350FE5" w:rsidRDefault="006F7FDE" w:rsidP="009B4300">
      <w:pPr>
        <w:spacing w:after="0" w:line="276" w:lineRule="auto"/>
        <w:contextualSpacing/>
        <w:jc w:val="both"/>
        <w:rPr>
          <w:bCs/>
        </w:rPr>
      </w:pPr>
      <w:r w:rsidRPr="00350FE5">
        <w:rPr>
          <w:noProof/>
        </w:rPr>
        <w:drawing>
          <wp:inline distT="0" distB="0" distL="0" distR="0" wp14:anchorId="74818A44" wp14:editId="28A2402D">
            <wp:extent cx="4622800" cy="2881630"/>
            <wp:effectExtent l="0" t="0" r="6350" b="13970"/>
            <wp:docPr id="41" name="Chart 4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6F7FDE" w:rsidRPr="00350FE5" w:rsidRDefault="00C71871" w:rsidP="009B4300">
      <w:pPr>
        <w:spacing w:after="0" w:line="276" w:lineRule="auto"/>
        <w:contextualSpacing/>
        <w:jc w:val="both"/>
        <w:rPr>
          <w:bCs/>
        </w:rPr>
      </w:pPr>
      <w:r w:rsidRPr="00350FE5">
        <w:rPr>
          <w:bCs/>
        </w:rPr>
        <w:t>Chart 4</w:t>
      </w:r>
      <w:r w:rsidR="006F7FDE" w:rsidRPr="00350FE5">
        <w:rPr>
          <w:bCs/>
        </w:rPr>
        <w:t>: Green Finance of Q</w:t>
      </w:r>
      <w:r w:rsidR="006F7FDE" w:rsidRPr="00350FE5">
        <w:rPr>
          <w:bCs/>
          <w:vertAlign w:val="subscript"/>
        </w:rPr>
        <w:t>4</w:t>
      </w:r>
      <w:r w:rsidR="006F7FDE" w:rsidRPr="00350FE5">
        <w:rPr>
          <w:bCs/>
        </w:rPr>
        <w:t>, 202</w:t>
      </w:r>
      <w:r w:rsidR="00B6239A" w:rsidRPr="00350FE5">
        <w:rPr>
          <w:bCs/>
        </w:rPr>
        <w:t>3 of different commercial banks</w:t>
      </w:r>
    </w:p>
    <w:p w:rsidR="006F7FDE" w:rsidRDefault="00C71871" w:rsidP="009B4300">
      <w:pPr>
        <w:spacing w:after="0" w:line="276" w:lineRule="auto"/>
        <w:contextualSpacing/>
        <w:jc w:val="both"/>
        <w:rPr>
          <w:bCs/>
        </w:rPr>
      </w:pPr>
      <w:r w:rsidRPr="00350FE5">
        <w:rPr>
          <w:bCs/>
        </w:rPr>
        <w:t>Chart 4</w:t>
      </w:r>
      <w:r w:rsidR="006F7FDE" w:rsidRPr="00350FE5">
        <w:rPr>
          <w:bCs/>
        </w:rPr>
        <w:t xml:space="preserve"> shows that only 22 commercial banks fulfil </w:t>
      </w:r>
      <w:r w:rsidR="00B6239A" w:rsidRPr="00350FE5">
        <w:rPr>
          <w:bCs/>
        </w:rPr>
        <w:t xml:space="preserve">the </w:t>
      </w:r>
      <w:r w:rsidR="006F7FDE" w:rsidRPr="00350FE5">
        <w:rPr>
          <w:bCs/>
        </w:rPr>
        <w:t xml:space="preserve">GF ≥5% of the total term loan disbursement set by Bangladesh Bank. The chart shows that in Q4, 2023, 22 banks out of 61 had exposure to green finance, where only PCBs were seen. UCB PLC held the top position, holding 36.21%, followed by Jamuna Bank PLC at 29.85%, IBBL PLC at 22.42%, and Bank Asia stood last at 5.47%. </w:t>
      </w:r>
    </w:p>
    <w:p w:rsidR="00F31428" w:rsidRDefault="00F31428" w:rsidP="009B4300">
      <w:pPr>
        <w:spacing w:after="0" w:line="276" w:lineRule="auto"/>
        <w:contextualSpacing/>
        <w:jc w:val="both"/>
        <w:rPr>
          <w:rFonts w:eastAsia="Times New Roman"/>
          <w:b/>
          <w:bCs/>
        </w:rPr>
      </w:pPr>
    </w:p>
    <w:p w:rsidR="00F31428" w:rsidRDefault="00F31428" w:rsidP="009B4300">
      <w:pPr>
        <w:spacing w:after="0" w:line="276" w:lineRule="auto"/>
        <w:contextualSpacing/>
        <w:jc w:val="both"/>
        <w:rPr>
          <w:bCs/>
        </w:rPr>
      </w:pPr>
      <w:r>
        <w:rPr>
          <w:rFonts w:eastAsia="Times New Roman"/>
          <w:b/>
          <w:bCs/>
        </w:rPr>
        <w:t xml:space="preserve">4.7 </w:t>
      </w:r>
      <w:r w:rsidRPr="00350FE5">
        <w:rPr>
          <w:rFonts w:eastAsia="Times New Roman"/>
          <w:b/>
          <w:bCs/>
        </w:rPr>
        <w:t xml:space="preserve">Comparison </w:t>
      </w:r>
      <w:r>
        <w:rPr>
          <w:rFonts w:eastAsia="Times New Roman"/>
          <w:b/>
          <w:bCs/>
        </w:rPr>
        <w:t xml:space="preserve">of GF and </w:t>
      </w:r>
      <w:proofErr w:type="gramStart"/>
      <w:r>
        <w:rPr>
          <w:rFonts w:eastAsia="Times New Roman"/>
          <w:b/>
          <w:bCs/>
        </w:rPr>
        <w:t xml:space="preserve">SF </w:t>
      </w:r>
      <w:r w:rsidRPr="00350FE5">
        <w:rPr>
          <w:rFonts w:eastAsia="Times New Roman"/>
          <w:b/>
          <w:bCs/>
        </w:rPr>
        <w:t xml:space="preserve"> for</w:t>
      </w:r>
      <w:proofErr w:type="gramEnd"/>
      <w:r w:rsidRPr="00350FE5">
        <w:rPr>
          <w:rFonts w:eastAsia="Times New Roman"/>
          <w:b/>
          <w:bCs/>
        </w:rPr>
        <w:t xml:space="preserve"> the year 2023</w:t>
      </w:r>
    </w:p>
    <w:p w:rsidR="00F31428" w:rsidRPr="00350FE5" w:rsidRDefault="00F31428" w:rsidP="009B4300">
      <w:pPr>
        <w:spacing w:after="0" w:line="276" w:lineRule="auto"/>
        <w:contextualSpacing/>
        <w:jc w:val="both"/>
        <w:rPr>
          <w:bCs/>
        </w:rPr>
      </w:pPr>
    </w:p>
    <w:p w:rsidR="006F7FDE" w:rsidRPr="00350FE5" w:rsidRDefault="00113112" w:rsidP="009B4300">
      <w:pPr>
        <w:spacing w:after="0" w:line="276" w:lineRule="auto"/>
        <w:contextualSpacing/>
        <w:jc w:val="both"/>
        <w:rPr>
          <w:rFonts w:eastAsia="Times New Roman"/>
          <w:b/>
          <w:bCs/>
        </w:rPr>
      </w:pPr>
      <w:r w:rsidRPr="00350FE5">
        <w:rPr>
          <w:rFonts w:eastAsia="Times New Roman"/>
          <w:b/>
          <w:bCs/>
        </w:rPr>
        <w:t xml:space="preserve"> </w:t>
      </w:r>
      <w:r w:rsidR="00E94002" w:rsidRPr="00350FE5">
        <w:rPr>
          <w:rFonts w:eastAsia="Times New Roman"/>
          <w:b/>
          <w:bCs/>
        </w:rPr>
        <w:t>Table 3</w:t>
      </w:r>
      <w:r w:rsidR="006F7FDE" w:rsidRPr="00350FE5">
        <w:rPr>
          <w:rFonts w:eastAsia="Times New Roman"/>
          <w:b/>
          <w:bCs/>
        </w:rPr>
        <w:t>: Comparison table of GF and SF (in %) for the year 2023</w:t>
      </w:r>
    </w:p>
    <w:p w:rsidR="00113112" w:rsidRPr="00350FE5" w:rsidRDefault="00113112" w:rsidP="009B4300">
      <w:pPr>
        <w:spacing w:after="0" w:line="276" w:lineRule="auto"/>
        <w:contextualSpacing/>
        <w:jc w:val="both"/>
        <w:rPr>
          <w:rFonts w:eastAsia="Times New Roman"/>
          <w:b/>
          <w:bCs/>
        </w:rPr>
      </w:pPr>
    </w:p>
    <w:tbl>
      <w:tblPr>
        <w:tblW w:w="5000" w:type="pct"/>
        <w:tblLook w:val="04A0" w:firstRow="1" w:lastRow="0" w:firstColumn="1" w:lastColumn="0" w:noHBand="0" w:noVBand="1"/>
      </w:tblPr>
      <w:tblGrid>
        <w:gridCol w:w="1521"/>
        <w:gridCol w:w="928"/>
        <w:gridCol w:w="77"/>
        <w:gridCol w:w="573"/>
        <w:gridCol w:w="636"/>
        <w:gridCol w:w="756"/>
        <w:gridCol w:w="1190"/>
        <w:gridCol w:w="261"/>
        <w:gridCol w:w="756"/>
        <w:gridCol w:w="756"/>
        <w:gridCol w:w="845"/>
      </w:tblGrid>
      <w:tr w:rsidR="006F7FDE" w:rsidRPr="00350FE5" w:rsidTr="0064112C">
        <w:trPr>
          <w:trHeight w:val="179"/>
        </w:trPr>
        <w:tc>
          <w:tcPr>
            <w:tcW w:w="960" w:type="pct"/>
            <w:tcBorders>
              <w:top w:val="single" w:sz="4" w:space="0" w:color="9BC2E6"/>
              <w:left w:val="single" w:sz="4" w:space="0" w:color="9BC2E6"/>
              <w:bottom w:val="single" w:sz="4" w:space="0" w:color="9BC2E6"/>
              <w:right w:val="nil"/>
            </w:tcBorders>
            <w:shd w:val="clear" w:color="5B9BD5" w:fill="5B9BD5"/>
            <w:noWrap/>
            <w:vAlign w:val="bottom"/>
            <w:hideMark/>
          </w:tcPr>
          <w:p w:rsidR="006F7FDE" w:rsidRPr="00350FE5" w:rsidRDefault="006F7FDE" w:rsidP="009B4300">
            <w:pPr>
              <w:spacing w:after="0" w:line="276" w:lineRule="auto"/>
              <w:jc w:val="both"/>
              <w:rPr>
                <w:rFonts w:eastAsia="Times New Roman"/>
                <w:bCs/>
                <w:color w:val="FFFFFF" w:themeColor="background1"/>
              </w:rPr>
            </w:pPr>
          </w:p>
        </w:tc>
        <w:tc>
          <w:tcPr>
            <w:tcW w:w="546" w:type="pct"/>
            <w:gridSpan w:val="2"/>
            <w:tcBorders>
              <w:top w:val="single" w:sz="4" w:space="0" w:color="9BC2E6"/>
              <w:left w:val="nil"/>
              <w:bottom w:val="single" w:sz="4" w:space="0" w:color="9BC2E6"/>
              <w:right w:val="nil"/>
            </w:tcBorders>
            <w:shd w:val="clear" w:color="5B9BD5" w:fill="5B9BD5"/>
            <w:noWrap/>
            <w:vAlign w:val="bottom"/>
            <w:hideMark/>
          </w:tcPr>
          <w:p w:rsidR="006F7FDE" w:rsidRPr="00350FE5" w:rsidRDefault="006F7FDE" w:rsidP="009B4300">
            <w:pPr>
              <w:spacing w:after="0" w:line="276" w:lineRule="auto"/>
              <w:jc w:val="both"/>
              <w:rPr>
                <w:rFonts w:eastAsia="Times New Roman"/>
                <w:bCs/>
                <w:color w:val="FFFFFF" w:themeColor="background1"/>
              </w:rPr>
            </w:pPr>
            <w:r w:rsidRPr="00350FE5">
              <w:rPr>
                <w:rFonts w:eastAsia="Times New Roman"/>
                <w:bCs/>
                <w:color w:val="FFFFFF" w:themeColor="background1"/>
              </w:rPr>
              <w:t>GF2023</w:t>
            </w:r>
          </w:p>
        </w:tc>
        <w:tc>
          <w:tcPr>
            <w:tcW w:w="372" w:type="pct"/>
            <w:tcBorders>
              <w:top w:val="single" w:sz="4" w:space="0" w:color="9BC2E6"/>
              <w:left w:val="nil"/>
              <w:bottom w:val="single" w:sz="4" w:space="0" w:color="9BC2E6"/>
              <w:right w:val="nil"/>
            </w:tcBorders>
            <w:shd w:val="clear" w:color="5B9BD5" w:fill="5B9BD5"/>
            <w:noWrap/>
            <w:vAlign w:val="bottom"/>
            <w:hideMark/>
          </w:tcPr>
          <w:p w:rsidR="006F7FDE" w:rsidRPr="00350FE5" w:rsidRDefault="006F7FDE" w:rsidP="009B4300">
            <w:pPr>
              <w:spacing w:after="0" w:line="276" w:lineRule="auto"/>
              <w:jc w:val="both"/>
              <w:rPr>
                <w:rFonts w:eastAsia="Times New Roman"/>
                <w:bCs/>
                <w:color w:val="FFFFFF" w:themeColor="background1"/>
              </w:rPr>
            </w:pPr>
          </w:p>
        </w:tc>
        <w:tc>
          <w:tcPr>
            <w:tcW w:w="414" w:type="pct"/>
            <w:tcBorders>
              <w:top w:val="single" w:sz="4" w:space="0" w:color="9BC2E6"/>
              <w:left w:val="nil"/>
              <w:bottom w:val="single" w:sz="4" w:space="0" w:color="9BC2E6"/>
              <w:right w:val="nil"/>
            </w:tcBorders>
            <w:shd w:val="clear" w:color="5B9BD5" w:fill="5B9BD5"/>
            <w:noWrap/>
            <w:vAlign w:val="bottom"/>
            <w:hideMark/>
          </w:tcPr>
          <w:p w:rsidR="006F7FDE" w:rsidRPr="00350FE5" w:rsidRDefault="006F7FDE" w:rsidP="009B4300">
            <w:pPr>
              <w:spacing w:after="0" w:line="276" w:lineRule="auto"/>
              <w:jc w:val="both"/>
              <w:rPr>
                <w:rFonts w:eastAsia="Times New Roman"/>
                <w:bCs/>
                <w:color w:val="FFFFFF" w:themeColor="background1"/>
              </w:rPr>
            </w:pPr>
          </w:p>
        </w:tc>
        <w:tc>
          <w:tcPr>
            <w:tcW w:w="471" w:type="pct"/>
            <w:tcBorders>
              <w:top w:val="single" w:sz="4" w:space="0" w:color="9BC2E6"/>
              <w:left w:val="nil"/>
              <w:bottom w:val="single" w:sz="4" w:space="0" w:color="9BC2E6"/>
              <w:right w:val="nil"/>
            </w:tcBorders>
            <w:shd w:val="clear" w:color="5B9BD5" w:fill="5B9BD5"/>
            <w:noWrap/>
            <w:vAlign w:val="bottom"/>
            <w:hideMark/>
          </w:tcPr>
          <w:p w:rsidR="006F7FDE" w:rsidRPr="00350FE5" w:rsidRDefault="006F7FDE" w:rsidP="009B4300">
            <w:pPr>
              <w:spacing w:after="0" w:line="276" w:lineRule="auto"/>
              <w:jc w:val="both"/>
              <w:rPr>
                <w:rFonts w:eastAsia="Times New Roman"/>
                <w:bCs/>
                <w:color w:val="FFFFFF" w:themeColor="background1"/>
              </w:rPr>
            </w:pPr>
          </w:p>
        </w:tc>
        <w:tc>
          <w:tcPr>
            <w:tcW w:w="687" w:type="pct"/>
            <w:gridSpan w:val="2"/>
            <w:tcBorders>
              <w:top w:val="single" w:sz="4" w:space="0" w:color="9BC2E6"/>
              <w:left w:val="nil"/>
              <w:bottom w:val="single" w:sz="4" w:space="0" w:color="9BC2E6"/>
              <w:right w:val="nil"/>
            </w:tcBorders>
            <w:shd w:val="clear" w:color="5B9BD5" w:fill="5B9BD5"/>
            <w:noWrap/>
            <w:vAlign w:val="bottom"/>
            <w:hideMark/>
          </w:tcPr>
          <w:p w:rsidR="006F7FDE" w:rsidRPr="00350FE5" w:rsidRDefault="006F7FDE" w:rsidP="009B4300">
            <w:pPr>
              <w:spacing w:after="0" w:line="276" w:lineRule="auto"/>
              <w:jc w:val="both"/>
              <w:rPr>
                <w:rFonts w:eastAsia="Times New Roman"/>
                <w:bCs/>
                <w:color w:val="FFFFFF" w:themeColor="background1"/>
              </w:rPr>
            </w:pPr>
            <w:r w:rsidRPr="00350FE5">
              <w:rPr>
                <w:rFonts w:eastAsia="Times New Roman"/>
                <w:bCs/>
                <w:color w:val="FFFFFF" w:themeColor="background1"/>
              </w:rPr>
              <w:t>SF 2023</w:t>
            </w:r>
          </w:p>
        </w:tc>
        <w:tc>
          <w:tcPr>
            <w:tcW w:w="473" w:type="pct"/>
            <w:tcBorders>
              <w:top w:val="single" w:sz="4" w:space="0" w:color="9BC2E6"/>
              <w:left w:val="nil"/>
              <w:bottom w:val="single" w:sz="4" w:space="0" w:color="9BC2E6"/>
              <w:right w:val="nil"/>
            </w:tcBorders>
            <w:shd w:val="clear" w:color="5B9BD5" w:fill="5B9BD5"/>
            <w:noWrap/>
            <w:vAlign w:val="bottom"/>
            <w:hideMark/>
          </w:tcPr>
          <w:p w:rsidR="006F7FDE" w:rsidRPr="00350FE5" w:rsidRDefault="006F7FDE" w:rsidP="009B4300">
            <w:pPr>
              <w:spacing w:after="0" w:line="276" w:lineRule="auto"/>
              <w:jc w:val="both"/>
              <w:rPr>
                <w:rFonts w:eastAsia="Times New Roman"/>
                <w:bCs/>
                <w:color w:val="FFFFFF" w:themeColor="background1"/>
              </w:rPr>
            </w:pPr>
          </w:p>
        </w:tc>
        <w:tc>
          <w:tcPr>
            <w:tcW w:w="471" w:type="pct"/>
            <w:tcBorders>
              <w:top w:val="single" w:sz="4" w:space="0" w:color="9BC2E6"/>
              <w:left w:val="nil"/>
              <w:bottom w:val="single" w:sz="4" w:space="0" w:color="9BC2E6"/>
              <w:right w:val="nil"/>
            </w:tcBorders>
            <w:shd w:val="clear" w:color="5B9BD5" w:fill="5B9BD5"/>
            <w:noWrap/>
            <w:vAlign w:val="bottom"/>
            <w:hideMark/>
          </w:tcPr>
          <w:p w:rsidR="006F7FDE" w:rsidRPr="00350FE5" w:rsidRDefault="006F7FDE" w:rsidP="009B4300">
            <w:pPr>
              <w:spacing w:after="0" w:line="276" w:lineRule="auto"/>
              <w:jc w:val="both"/>
              <w:rPr>
                <w:rFonts w:eastAsia="Times New Roman"/>
                <w:bCs/>
                <w:color w:val="FFFFFF" w:themeColor="background1"/>
              </w:rPr>
            </w:pPr>
          </w:p>
        </w:tc>
        <w:tc>
          <w:tcPr>
            <w:tcW w:w="605" w:type="pct"/>
            <w:tcBorders>
              <w:top w:val="single" w:sz="4" w:space="0" w:color="9BC2E6"/>
              <w:left w:val="nil"/>
              <w:bottom w:val="single" w:sz="4" w:space="0" w:color="9BC2E6"/>
              <w:right w:val="single" w:sz="4" w:space="0" w:color="9BC2E6"/>
            </w:tcBorders>
            <w:shd w:val="clear" w:color="5B9BD5" w:fill="5B9BD5"/>
            <w:noWrap/>
            <w:vAlign w:val="bottom"/>
            <w:hideMark/>
          </w:tcPr>
          <w:p w:rsidR="006F7FDE" w:rsidRPr="00350FE5" w:rsidRDefault="006F7FDE" w:rsidP="009B4300">
            <w:pPr>
              <w:spacing w:after="0" w:line="276" w:lineRule="auto"/>
              <w:jc w:val="both"/>
              <w:rPr>
                <w:rFonts w:eastAsia="Times New Roman"/>
                <w:bCs/>
                <w:color w:val="FFFFFF" w:themeColor="background1"/>
              </w:rPr>
            </w:pPr>
          </w:p>
        </w:tc>
      </w:tr>
      <w:tr w:rsidR="006F7FDE" w:rsidRPr="00350FE5" w:rsidTr="0064112C">
        <w:trPr>
          <w:trHeight w:val="296"/>
        </w:trPr>
        <w:tc>
          <w:tcPr>
            <w:tcW w:w="960" w:type="pct"/>
            <w:tcBorders>
              <w:top w:val="single" w:sz="4" w:space="0" w:color="9BC2E6"/>
              <w:left w:val="single" w:sz="4" w:space="0" w:color="9BC2E6"/>
              <w:bottom w:val="single" w:sz="4" w:space="0" w:color="9BC2E6"/>
              <w:right w:val="nil"/>
            </w:tcBorders>
            <w:shd w:val="clear" w:color="DDEBF7" w:fill="DDEBF7"/>
            <w:noWrap/>
            <w:vAlign w:val="bottom"/>
            <w:hideMark/>
          </w:tcPr>
          <w:p w:rsidR="006F7FDE" w:rsidRPr="00350FE5" w:rsidRDefault="006F7FDE" w:rsidP="009B4300">
            <w:pPr>
              <w:spacing w:after="0" w:line="276" w:lineRule="auto"/>
              <w:jc w:val="both"/>
              <w:rPr>
                <w:rFonts w:eastAsia="Times New Roman"/>
              </w:rPr>
            </w:pPr>
            <w:r w:rsidRPr="00350FE5">
              <w:rPr>
                <w:rFonts w:eastAsia="Times New Roman"/>
              </w:rPr>
              <w:t xml:space="preserve"> Banks</w:t>
            </w:r>
          </w:p>
        </w:tc>
        <w:tc>
          <w:tcPr>
            <w:tcW w:w="505" w:type="pct"/>
            <w:tcBorders>
              <w:top w:val="single" w:sz="4" w:space="0" w:color="9BC2E6"/>
              <w:left w:val="nil"/>
              <w:bottom w:val="single" w:sz="4" w:space="0" w:color="9BC2E6"/>
              <w:right w:val="nil"/>
            </w:tcBorders>
            <w:shd w:val="clear" w:color="DDEBF7" w:fill="DDEBF7"/>
            <w:noWrap/>
            <w:vAlign w:val="bottom"/>
            <w:hideMark/>
          </w:tcPr>
          <w:p w:rsidR="006F7FDE" w:rsidRPr="00350FE5" w:rsidRDefault="006F7FDE" w:rsidP="009B4300">
            <w:pPr>
              <w:spacing w:after="0" w:line="276" w:lineRule="auto"/>
              <w:jc w:val="both"/>
              <w:rPr>
                <w:rFonts w:eastAsia="Times New Roman"/>
              </w:rPr>
            </w:pPr>
            <w:r w:rsidRPr="00350FE5">
              <w:rPr>
                <w:rFonts w:eastAsia="Times New Roman"/>
              </w:rPr>
              <w:t xml:space="preserve">   Q</w:t>
            </w:r>
            <w:r w:rsidRPr="00350FE5">
              <w:rPr>
                <w:rFonts w:eastAsia="Times New Roman"/>
                <w:vertAlign w:val="subscript"/>
              </w:rPr>
              <w:t>1</w:t>
            </w:r>
          </w:p>
        </w:tc>
        <w:tc>
          <w:tcPr>
            <w:tcW w:w="414" w:type="pct"/>
            <w:gridSpan w:val="2"/>
            <w:tcBorders>
              <w:top w:val="single" w:sz="4" w:space="0" w:color="9BC2E6"/>
              <w:left w:val="nil"/>
              <w:bottom w:val="single" w:sz="4" w:space="0" w:color="9BC2E6"/>
              <w:right w:val="nil"/>
            </w:tcBorders>
            <w:shd w:val="clear" w:color="DDEBF7" w:fill="DDEBF7"/>
            <w:noWrap/>
            <w:vAlign w:val="bottom"/>
            <w:hideMark/>
          </w:tcPr>
          <w:p w:rsidR="006F7FDE" w:rsidRPr="00350FE5" w:rsidRDefault="006F7FDE" w:rsidP="009B4300">
            <w:pPr>
              <w:spacing w:after="0" w:line="276" w:lineRule="auto"/>
              <w:jc w:val="both"/>
              <w:rPr>
                <w:rFonts w:eastAsia="Times New Roman"/>
              </w:rPr>
            </w:pPr>
            <w:r w:rsidRPr="00350FE5">
              <w:rPr>
                <w:rFonts w:eastAsia="Times New Roman"/>
              </w:rPr>
              <w:t xml:space="preserve">  Q</w:t>
            </w:r>
            <w:r w:rsidRPr="00350FE5">
              <w:rPr>
                <w:rFonts w:eastAsia="Times New Roman"/>
                <w:vertAlign w:val="subscript"/>
              </w:rPr>
              <w:t>2</w:t>
            </w:r>
          </w:p>
        </w:tc>
        <w:tc>
          <w:tcPr>
            <w:tcW w:w="414" w:type="pct"/>
            <w:tcBorders>
              <w:top w:val="single" w:sz="4" w:space="0" w:color="9BC2E6"/>
              <w:left w:val="nil"/>
              <w:bottom w:val="single" w:sz="4" w:space="0" w:color="9BC2E6"/>
              <w:right w:val="nil"/>
            </w:tcBorders>
            <w:shd w:val="clear" w:color="DDEBF7" w:fill="DDEBF7"/>
            <w:noWrap/>
            <w:vAlign w:val="bottom"/>
            <w:hideMark/>
          </w:tcPr>
          <w:p w:rsidR="006F7FDE" w:rsidRPr="00350FE5" w:rsidRDefault="006F7FDE" w:rsidP="009B4300">
            <w:pPr>
              <w:spacing w:after="0" w:line="276" w:lineRule="auto"/>
              <w:jc w:val="both"/>
              <w:rPr>
                <w:rFonts w:eastAsia="Times New Roman"/>
              </w:rPr>
            </w:pPr>
            <w:r w:rsidRPr="00350FE5">
              <w:rPr>
                <w:rFonts w:eastAsia="Times New Roman"/>
              </w:rPr>
              <w:t>Q</w:t>
            </w:r>
            <w:r w:rsidRPr="00350FE5">
              <w:rPr>
                <w:rFonts w:eastAsia="Times New Roman"/>
                <w:vertAlign w:val="subscript"/>
              </w:rPr>
              <w:t>3</w:t>
            </w:r>
          </w:p>
        </w:tc>
        <w:tc>
          <w:tcPr>
            <w:tcW w:w="471" w:type="pct"/>
            <w:tcBorders>
              <w:top w:val="single" w:sz="4" w:space="0" w:color="9BC2E6"/>
              <w:left w:val="nil"/>
              <w:bottom w:val="single" w:sz="4" w:space="0" w:color="9BC2E6"/>
              <w:right w:val="nil"/>
            </w:tcBorders>
            <w:shd w:val="clear" w:color="DDEBF7" w:fill="DDEBF7"/>
            <w:noWrap/>
            <w:vAlign w:val="bottom"/>
            <w:hideMark/>
          </w:tcPr>
          <w:p w:rsidR="006F7FDE" w:rsidRPr="00350FE5" w:rsidRDefault="006F7FDE" w:rsidP="009B4300">
            <w:pPr>
              <w:spacing w:after="0" w:line="276" w:lineRule="auto"/>
              <w:jc w:val="both"/>
              <w:rPr>
                <w:rFonts w:eastAsia="Times New Roman"/>
              </w:rPr>
            </w:pPr>
            <w:r w:rsidRPr="00350FE5">
              <w:rPr>
                <w:rFonts w:eastAsia="Times New Roman"/>
              </w:rPr>
              <w:t>Q</w:t>
            </w:r>
            <w:r w:rsidRPr="00350FE5">
              <w:rPr>
                <w:rFonts w:eastAsia="Times New Roman"/>
                <w:vertAlign w:val="subscript"/>
              </w:rPr>
              <w:t>4</w:t>
            </w:r>
          </w:p>
        </w:tc>
        <w:tc>
          <w:tcPr>
            <w:tcW w:w="434" w:type="pct"/>
            <w:tcBorders>
              <w:top w:val="single" w:sz="4" w:space="0" w:color="9BC2E6"/>
              <w:left w:val="nil"/>
              <w:bottom w:val="single" w:sz="4" w:space="0" w:color="9BC2E6"/>
              <w:right w:val="nil"/>
            </w:tcBorders>
            <w:shd w:val="clear" w:color="DDEBF7" w:fill="DDEBF7"/>
            <w:noWrap/>
            <w:vAlign w:val="bottom"/>
            <w:hideMark/>
          </w:tcPr>
          <w:p w:rsidR="006F7FDE" w:rsidRPr="00350FE5" w:rsidRDefault="006F7FDE" w:rsidP="009B4300">
            <w:pPr>
              <w:spacing w:after="0" w:line="276" w:lineRule="auto"/>
              <w:jc w:val="both"/>
              <w:rPr>
                <w:rFonts w:eastAsia="Times New Roman"/>
              </w:rPr>
            </w:pPr>
            <w:r w:rsidRPr="00350FE5">
              <w:rPr>
                <w:rFonts w:eastAsia="Times New Roman"/>
              </w:rPr>
              <w:t xml:space="preserve">            Q</w:t>
            </w:r>
            <w:r w:rsidRPr="00350FE5">
              <w:rPr>
                <w:rFonts w:eastAsia="Times New Roman"/>
                <w:vertAlign w:val="subscript"/>
              </w:rPr>
              <w:t>1</w:t>
            </w:r>
          </w:p>
        </w:tc>
        <w:tc>
          <w:tcPr>
            <w:tcW w:w="254" w:type="pct"/>
            <w:tcBorders>
              <w:top w:val="single" w:sz="4" w:space="0" w:color="9BC2E6"/>
              <w:left w:val="nil"/>
              <w:bottom w:val="single" w:sz="4" w:space="0" w:color="9BC2E6"/>
              <w:right w:val="nil"/>
            </w:tcBorders>
            <w:shd w:val="clear" w:color="DDEBF7" w:fill="DDEBF7"/>
            <w:noWrap/>
            <w:vAlign w:val="bottom"/>
            <w:hideMark/>
          </w:tcPr>
          <w:p w:rsidR="006F7FDE" w:rsidRPr="00350FE5" w:rsidRDefault="006F7FDE" w:rsidP="009B4300">
            <w:pPr>
              <w:spacing w:after="0" w:line="276" w:lineRule="auto"/>
              <w:jc w:val="both"/>
              <w:rPr>
                <w:rFonts w:eastAsia="Times New Roman"/>
              </w:rPr>
            </w:pPr>
          </w:p>
        </w:tc>
        <w:tc>
          <w:tcPr>
            <w:tcW w:w="944" w:type="pct"/>
            <w:gridSpan w:val="2"/>
            <w:tcBorders>
              <w:top w:val="single" w:sz="4" w:space="0" w:color="9BC2E6"/>
              <w:left w:val="nil"/>
              <w:bottom w:val="single" w:sz="4" w:space="0" w:color="9BC2E6"/>
              <w:right w:val="nil"/>
            </w:tcBorders>
            <w:shd w:val="clear" w:color="DDEBF7" w:fill="DDEBF7"/>
            <w:noWrap/>
            <w:vAlign w:val="bottom"/>
            <w:hideMark/>
          </w:tcPr>
          <w:p w:rsidR="006F7FDE" w:rsidRPr="00350FE5" w:rsidRDefault="006F7FDE" w:rsidP="009B4300">
            <w:pPr>
              <w:spacing w:after="0" w:line="276" w:lineRule="auto"/>
              <w:jc w:val="both"/>
              <w:rPr>
                <w:rFonts w:eastAsia="Times New Roman"/>
              </w:rPr>
            </w:pPr>
            <w:r w:rsidRPr="00350FE5">
              <w:rPr>
                <w:rFonts w:eastAsia="Times New Roman"/>
              </w:rPr>
              <w:t xml:space="preserve">    Q</w:t>
            </w:r>
            <w:r w:rsidRPr="00350FE5">
              <w:rPr>
                <w:rFonts w:eastAsia="Times New Roman"/>
                <w:vertAlign w:val="subscript"/>
              </w:rPr>
              <w:t>2</w:t>
            </w:r>
            <w:r w:rsidRPr="00350FE5">
              <w:rPr>
                <w:rFonts w:eastAsia="Times New Roman"/>
              </w:rPr>
              <w:t xml:space="preserve">         Q</w:t>
            </w:r>
            <w:r w:rsidRPr="00350FE5">
              <w:rPr>
                <w:rFonts w:eastAsia="Times New Roman"/>
                <w:vertAlign w:val="subscript"/>
              </w:rPr>
              <w:t>3</w:t>
            </w:r>
          </w:p>
        </w:tc>
        <w:tc>
          <w:tcPr>
            <w:tcW w:w="605" w:type="pct"/>
            <w:tcBorders>
              <w:top w:val="single" w:sz="4" w:space="0" w:color="9BC2E6"/>
              <w:left w:val="nil"/>
              <w:bottom w:val="single" w:sz="4" w:space="0" w:color="9BC2E6"/>
              <w:right w:val="single" w:sz="4" w:space="0" w:color="9BC2E6"/>
            </w:tcBorders>
            <w:shd w:val="clear" w:color="DDEBF7" w:fill="DDEBF7"/>
            <w:noWrap/>
            <w:vAlign w:val="bottom"/>
            <w:hideMark/>
          </w:tcPr>
          <w:p w:rsidR="006F7FDE" w:rsidRPr="00350FE5" w:rsidRDefault="006F7FDE" w:rsidP="009B4300">
            <w:pPr>
              <w:spacing w:after="0" w:line="276" w:lineRule="auto"/>
              <w:jc w:val="both"/>
              <w:rPr>
                <w:rFonts w:eastAsia="Times New Roman"/>
              </w:rPr>
            </w:pPr>
            <w:r w:rsidRPr="00350FE5">
              <w:rPr>
                <w:rFonts w:eastAsia="Times New Roman"/>
              </w:rPr>
              <w:t>Q</w:t>
            </w:r>
            <w:r w:rsidRPr="00350FE5">
              <w:rPr>
                <w:rFonts w:eastAsia="Times New Roman"/>
                <w:vertAlign w:val="subscript"/>
              </w:rPr>
              <w:t>4</w:t>
            </w:r>
          </w:p>
        </w:tc>
      </w:tr>
      <w:tr w:rsidR="006F7FDE" w:rsidRPr="00350FE5" w:rsidTr="0064112C">
        <w:trPr>
          <w:trHeight w:val="296"/>
        </w:trPr>
        <w:tc>
          <w:tcPr>
            <w:tcW w:w="960" w:type="pct"/>
            <w:tcBorders>
              <w:top w:val="single" w:sz="4" w:space="0" w:color="9BC2E6"/>
              <w:left w:val="single" w:sz="4" w:space="0" w:color="9BC2E6"/>
              <w:bottom w:val="single" w:sz="4" w:space="0" w:color="9BC2E6"/>
              <w:right w:val="nil"/>
            </w:tcBorders>
            <w:shd w:val="clear" w:color="auto" w:fill="auto"/>
            <w:noWrap/>
            <w:vAlign w:val="bottom"/>
            <w:hideMark/>
          </w:tcPr>
          <w:p w:rsidR="006F7FDE" w:rsidRPr="00350FE5" w:rsidRDefault="006F7FDE" w:rsidP="009B4300">
            <w:pPr>
              <w:spacing w:after="0" w:line="276" w:lineRule="auto"/>
              <w:jc w:val="both"/>
              <w:rPr>
                <w:rFonts w:eastAsia="Times New Roman"/>
              </w:rPr>
            </w:pPr>
            <w:r w:rsidRPr="00350FE5">
              <w:rPr>
                <w:rFonts w:eastAsia="Times New Roman"/>
              </w:rPr>
              <w:t>SOCBs (06)</w:t>
            </w:r>
          </w:p>
        </w:tc>
        <w:tc>
          <w:tcPr>
            <w:tcW w:w="505" w:type="pct"/>
            <w:tcBorders>
              <w:top w:val="single" w:sz="4" w:space="0" w:color="9BC2E6"/>
              <w:left w:val="nil"/>
              <w:bottom w:val="single" w:sz="4" w:space="0" w:color="9BC2E6"/>
              <w:right w:val="nil"/>
            </w:tcBorders>
            <w:shd w:val="clear" w:color="auto" w:fill="auto"/>
            <w:noWrap/>
            <w:vAlign w:val="bottom"/>
            <w:hideMark/>
          </w:tcPr>
          <w:p w:rsidR="006F7FDE" w:rsidRPr="00350FE5" w:rsidRDefault="006F7FDE" w:rsidP="009B4300">
            <w:pPr>
              <w:spacing w:after="0" w:line="276" w:lineRule="auto"/>
              <w:jc w:val="both"/>
              <w:rPr>
                <w:rFonts w:eastAsia="Times New Roman"/>
              </w:rPr>
            </w:pPr>
            <w:r w:rsidRPr="00350FE5">
              <w:rPr>
                <w:rFonts w:eastAsia="Times New Roman"/>
              </w:rPr>
              <w:t>1.07</w:t>
            </w:r>
          </w:p>
        </w:tc>
        <w:tc>
          <w:tcPr>
            <w:tcW w:w="414" w:type="pct"/>
            <w:gridSpan w:val="2"/>
            <w:tcBorders>
              <w:top w:val="single" w:sz="4" w:space="0" w:color="9BC2E6"/>
              <w:left w:val="nil"/>
              <w:bottom w:val="single" w:sz="4" w:space="0" w:color="9BC2E6"/>
              <w:right w:val="nil"/>
            </w:tcBorders>
            <w:shd w:val="clear" w:color="auto" w:fill="auto"/>
            <w:noWrap/>
            <w:vAlign w:val="bottom"/>
            <w:hideMark/>
          </w:tcPr>
          <w:p w:rsidR="006F7FDE" w:rsidRPr="00350FE5" w:rsidRDefault="006F7FDE" w:rsidP="009B4300">
            <w:pPr>
              <w:spacing w:after="0" w:line="276" w:lineRule="auto"/>
              <w:jc w:val="both"/>
              <w:rPr>
                <w:rFonts w:eastAsia="Times New Roman"/>
              </w:rPr>
            </w:pPr>
            <w:r w:rsidRPr="00350FE5">
              <w:rPr>
                <w:rFonts w:eastAsia="Times New Roman"/>
              </w:rPr>
              <w:t>0.93</w:t>
            </w:r>
          </w:p>
        </w:tc>
        <w:tc>
          <w:tcPr>
            <w:tcW w:w="414" w:type="pct"/>
            <w:tcBorders>
              <w:top w:val="single" w:sz="4" w:space="0" w:color="9BC2E6"/>
              <w:left w:val="nil"/>
              <w:bottom w:val="single" w:sz="4" w:space="0" w:color="9BC2E6"/>
              <w:right w:val="nil"/>
            </w:tcBorders>
            <w:shd w:val="clear" w:color="auto" w:fill="auto"/>
            <w:noWrap/>
            <w:vAlign w:val="bottom"/>
            <w:hideMark/>
          </w:tcPr>
          <w:p w:rsidR="006F7FDE" w:rsidRPr="00350FE5" w:rsidRDefault="006F7FDE" w:rsidP="009B4300">
            <w:pPr>
              <w:spacing w:after="0" w:line="276" w:lineRule="auto"/>
              <w:jc w:val="both"/>
              <w:rPr>
                <w:rFonts w:eastAsia="Times New Roman"/>
              </w:rPr>
            </w:pPr>
            <w:r w:rsidRPr="00350FE5">
              <w:rPr>
                <w:rFonts w:eastAsia="Times New Roman"/>
              </w:rPr>
              <w:t>1.04</w:t>
            </w:r>
          </w:p>
        </w:tc>
        <w:tc>
          <w:tcPr>
            <w:tcW w:w="471" w:type="pct"/>
            <w:tcBorders>
              <w:top w:val="single" w:sz="4" w:space="0" w:color="9BC2E6"/>
              <w:left w:val="nil"/>
              <w:bottom w:val="single" w:sz="4" w:space="0" w:color="9BC2E6"/>
              <w:right w:val="nil"/>
            </w:tcBorders>
            <w:shd w:val="clear" w:color="auto" w:fill="auto"/>
            <w:noWrap/>
            <w:vAlign w:val="bottom"/>
            <w:hideMark/>
          </w:tcPr>
          <w:p w:rsidR="006F7FDE" w:rsidRPr="00350FE5" w:rsidRDefault="006F7FDE" w:rsidP="009B4300">
            <w:pPr>
              <w:spacing w:after="0" w:line="276" w:lineRule="auto"/>
              <w:jc w:val="both"/>
              <w:rPr>
                <w:rFonts w:eastAsia="Times New Roman"/>
              </w:rPr>
            </w:pPr>
            <w:r w:rsidRPr="00350FE5">
              <w:rPr>
                <w:rFonts w:eastAsia="Times New Roman"/>
              </w:rPr>
              <w:t>1.64</w:t>
            </w:r>
          </w:p>
        </w:tc>
        <w:tc>
          <w:tcPr>
            <w:tcW w:w="687" w:type="pct"/>
            <w:gridSpan w:val="2"/>
            <w:tcBorders>
              <w:top w:val="single" w:sz="4" w:space="0" w:color="9BC2E6"/>
              <w:left w:val="nil"/>
              <w:bottom w:val="single" w:sz="4" w:space="0" w:color="9BC2E6"/>
              <w:right w:val="nil"/>
            </w:tcBorders>
            <w:shd w:val="clear" w:color="auto" w:fill="auto"/>
            <w:noWrap/>
            <w:vAlign w:val="bottom"/>
            <w:hideMark/>
          </w:tcPr>
          <w:p w:rsidR="006F7FDE" w:rsidRPr="00350FE5" w:rsidRDefault="006F7FDE" w:rsidP="009B4300">
            <w:pPr>
              <w:spacing w:after="0" w:line="276" w:lineRule="auto"/>
              <w:jc w:val="both"/>
              <w:rPr>
                <w:rFonts w:eastAsia="Times New Roman"/>
              </w:rPr>
            </w:pPr>
            <w:r w:rsidRPr="00350FE5">
              <w:rPr>
                <w:rFonts w:eastAsia="Times New Roman"/>
              </w:rPr>
              <w:t xml:space="preserve"> </w:t>
            </w:r>
            <w:r w:rsidR="00682B8D" w:rsidRPr="00350FE5">
              <w:rPr>
                <w:rFonts w:eastAsia="Times New Roman"/>
              </w:rPr>
              <w:t xml:space="preserve">       </w:t>
            </w:r>
            <w:r w:rsidRPr="00350FE5">
              <w:rPr>
                <w:rFonts w:eastAsia="Times New Roman"/>
              </w:rPr>
              <w:t>5.64</w:t>
            </w:r>
          </w:p>
        </w:tc>
        <w:tc>
          <w:tcPr>
            <w:tcW w:w="473" w:type="pct"/>
            <w:tcBorders>
              <w:top w:val="single" w:sz="4" w:space="0" w:color="9BC2E6"/>
              <w:left w:val="nil"/>
              <w:bottom w:val="single" w:sz="4" w:space="0" w:color="9BC2E6"/>
              <w:right w:val="nil"/>
            </w:tcBorders>
            <w:shd w:val="clear" w:color="auto" w:fill="auto"/>
            <w:noWrap/>
            <w:vAlign w:val="bottom"/>
            <w:hideMark/>
          </w:tcPr>
          <w:p w:rsidR="006F7FDE" w:rsidRPr="00350FE5" w:rsidRDefault="006F7FDE" w:rsidP="009B4300">
            <w:pPr>
              <w:spacing w:after="0" w:line="276" w:lineRule="auto"/>
              <w:jc w:val="both"/>
              <w:rPr>
                <w:rFonts w:eastAsia="Times New Roman"/>
              </w:rPr>
            </w:pPr>
            <w:r w:rsidRPr="00350FE5">
              <w:rPr>
                <w:rFonts w:eastAsia="Times New Roman"/>
              </w:rPr>
              <w:t>8.47</w:t>
            </w:r>
          </w:p>
        </w:tc>
        <w:tc>
          <w:tcPr>
            <w:tcW w:w="471" w:type="pct"/>
            <w:tcBorders>
              <w:top w:val="single" w:sz="4" w:space="0" w:color="9BC2E6"/>
              <w:left w:val="nil"/>
              <w:bottom w:val="single" w:sz="4" w:space="0" w:color="9BC2E6"/>
              <w:right w:val="nil"/>
            </w:tcBorders>
            <w:shd w:val="clear" w:color="auto" w:fill="auto"/>
            <w:noWrap/>
            <w:vAlign w:val="bottom"/>
            <w:hideMark/>
          </w:tcPr>
          <w:p w:rsidR="006F7FDE" w:rsidRPr="00350FE5" w:rsidRDefault="006F7FDE" w:rsidP="009B4300">
            <w:pPr>
              <w:spacing w:after="0" w:line="276" w:lineRule="auto"/>
              <w:jc w:val="both"/>
              <w:rPr>
                <w:rFonts w:eastAsia="Times New Roman"/>
              </w:rPr>
            </w:pPr>
            <w:r w:rsidRPr="00350FE5">
              <w:rPr>
                <w:rFonts w:eastAsia="Times New Roman"/>
              </w:rPr>
              <w:t>4.75</w:t>
            </w:r>
          </w:p>
        </w:tc>
        <w:tc>
          <w:tcPr>
            <w:tcW w:w="605" w:type="pct"/>
            <w:tcBorders>
              <w:top w:val="single" w:sz="4" w:space="0" w:color="9BC2E6"/>
              <w:left w:val="nil"/>
              <w:bottom w:val="single" w:sz="4" w:space="0" w:color="9BC2E6"/>
              <w:right w:val="single" w:sz="4" w:space="0" w:color="9BC2E6"/>
            </w:tcBorders>
            <w:shd w:val="clear" w:color="auto" w:fill="auto"/>
            <w:noWrap/>
            <w:vAlign w:val="bottom"/>
            <w:hideMark/>
          </w:tcPr>
          <w:p w:rsidR="006F7FDE" w:rsidRPr="00350FE5" w:rsidRDefault="006F7FDE" w:rsidP="009B4300">
            <w:pPr>
              <w:spacing w:after="0" w:line="276" w:lineRule="auto"/>
              <w:jc w:val="both"/>
              <w:rPr>
                <w:rFonts w:eastAsia="Times New Roman"/>
              </w:rPr>
            </w:pPr>
            <w:r w:rsidRPr="00350FE5">
              <w:rPr>
                <w:rFonts w:eastAsia="Times New Roman"/>
              </w:rPr>
              <w:t>6.10</w:t>
            </w:r>
          </w:p>
        </w:tc>
      </w:tr>
      <w:tr w:rsidR="006F7FDE" w:rsidRPr="00350FE5" w:rsidTr="0064112C">
        <w:trPr>
          <w:trHeight w:val="296"/>
        </w:trPr>
        <w:tc>
          <w:tcPr>
            <w:tcW w:w="960" w:type="pct"/>
            <w:tcBorders>
              <w:top w:val="single" w:sz="4" w:space="0" w:color="9BC2E6"/>
              <w:left w:val="single" w:sz="4" w:space="0" w:color="9BC2E6"/>
              <w:bottom w:val="single" w:sz="4" w:space="0" w:color="9BC2E6"/>
              <w:right w:val="nil"/>
            </w:tcBorders>
            <w:shd w:val="clear" w:color="DDEBF7" w:fill="DDEBF7"/>
            <w:noWrap/>
            <w:vAlign w:val="bottom"/>
            <w:hideMark/>
          </w:tcPr>
          <w:p w:rsidR="006F7FDE" w:rsidRPr="00350FE5" w:rsidRDefault="006F7FDE" w:rsidP="009B4300">
            <w:pPr>
              <w:spacing w:after="0" w:line="276" w:lineRule="auto"/>
              <w:jc w:val="both"/>
              <w:rPr>
                <w:rFonts w:eastAsia="Times New Roman"/>
              </w:rPr>
            </w:pPr>
            <w:r w:rsidRPr="00350FE5">
              <w:rPr>
                <w:rFonts w:eastAsia="Times New Roman"/>
              </w:rPr>
              <w:t>SDBs (03)</w:t>
            </w:r>
          </w:p>
        </w:tc>
        <w:tc>
          <w:tcPr>
            <w:tcW w:w="505" w:type="pct"/>
            <w:tcBorders>
              <w:top w:val="single" w:sz="4" w:space="0" w:color="9BC2E6"/>
              <w:left w:val="nil"/>
              <w:bottom w:val="single" w:sz="4" w:space="0" w:color="9BC2E6"/>
              <w:right w:val="nil"/>
            </w:tcBorders>
            <w:shd w:val="clear" w:color="DDEBF7" w:fill="DDEBF7"/>
            <w:noWrap/>
            <w:vAlign w:val="bottom"/>
            <w:hideMark/>
          </w:tcPr>
          <w:p w:rsidR="006F7FDE" w:rsidRPr="00350FE5" w:rsidRDefault="006F7FDE" w:rsidP="009B4300">
            <w:pPr>
              <w:spacing w:after="0" w:line="276" w:lineRule="auto"/>
              <w:jc w:val="both"/>
              <w:rPr>
                <w:rFonts w:eastAsia="Times New Roman"/>
              </w:rPr>
            </w:pPr>
            <w:r w:rsidRPr="00350FE5">
              <w:rPr>
                <w:rFonts w:eastAsia="Times New Roman"/>
              </w:rPr>
              <w:t>0.16</w:t>
            </w:r>
          </w:p>
        </w:tc>
        <w:tc>
          <w:tcPr>
            <w:tcW w:w="414" w:type="pct"/>
            <w:gridSpan w:val="2"/>
            <w:tcBorders>
              <w:top w:val="single" w:sz="4" w:space="0" w:color="9BC2E6"/>
              <w:left w:val="nil"/>
              <w:bottom w:val="single" w:sz="4" w:space="0" w:color="9BC2E6"/>
              <w:right w:val="nil"/>
            </w:tcBorders>
            <w:shd w:val="clear" w:color="DDEBF7" w:fill="DDEBF7"/>
            <w:noWrap/>
            <w:vAlign w:val="bottom"/>
            <w:hideMark/>
          </w:tcPr>
          <w:p w:rsidR="006F7FDE" w:rsidRPr="00350FE5" w:rsidRDefault="006F7FDE" w:rsidP="009B4300">
            <w:pPr>
              <w:spacing w:after="0" w:line="276" w:lineRule="auto"/>
              <w:jc w:val="both"/>
              <w:rPr>
                <w:rFonts w:eastAsia="Times New Roman"/>
              </w:rPr>
            </w:pPr>
            <w:r w:rsidRPr="00350FE5">
              <w:rPr>
                <w:rFonts w:eastAsia="Times New Roman"/>
              </w:rPr>
              <w:t>0.09</w:t>
            </w:r>
          </w:p>
        </w:tc>
        <w:tc>
          <w:tcPr>
            <w:tcW w:w="414" w:type="pct"/>
            <w:tcBorders>
              <w:top w:val="single" w:sz="4" w:space="0" w:color="9BC2E6"/>
              <w:left w:val="nil"/>
              <w:bottom w:val="single" w:sz="4" w:space="0" w:color="9BC2E6"/>
              <w:right w:val="nil"/>
            </w:tcBorders>
            <w:shd w:val="clear" w:color="DDEBF7" w:fill="DDEBF7"/>
            <w:noWrap/>
            <w:vAlign w:val="bottom"/>
            <w:hideMark/>
          </w:tcPr>
          <w:p w:rsidR="006F7FDE" w:rsidRPr="00350FE5" w:rsidRDefault="006F7FDE" w:rsidP="009B4300">
            <w:pPr>
              <w:spacing w:after="0" w:line="276" w:lineRule="auto"/>
              <w:jc w:val="both"/>
              <w:rPr>
                <w:rFonts w:eastAsia="Times New Roman"/>
              </w:rPr>
            </w:pPr>
            <w:r w:rsidRPr="00350FE5">
              <w:rPr>
                <w:rFonts w:eastAsia="Times New Roman"/>
              </w:rPr>
              <w:t>0.02</w:t>
            </w:r>
          </w:p>
        </w:tc>
        <w:tc>
          <w:tcPr>
            <w:tcW w:w="471" w:type="pct"/>
            <w:tcBorders>
              <w:top w:val="single" w:sz="4" w:space="0" w:color="9BC2E6"/>
              <w:left w:val="nil"/>
              <w:bottom w:val="single" w:sz="4" w:space="0" w:color="9BC2E6"/>
              <w:right w:val="nil"/>
            </w:tcBorders>
            <w:shd w:val="clear" w:color="DDEBF7" w:fill="DDEBF7"/>
            <w:noWrap/>
            <w:vAlign w:val="bottom"/>
            <w:hideMark/>
          </w:tcPr>
          <w:p w:rsidR="006F7FDE" w:rsidRPr="00350FE5" w:rsidRDefault="006F7FDE" w:rsidP="009B4300">
            <w:pPr>
              <w:spacing w:after="0" w:line="276" w:lineRule="auto"/>
              <w:jc w:val="both"/>
              <w:rPr>
                <w:rFonts w:eastAsia="Times New Roman"/>
              </w:rPr>
            </w:pPr>
            <w:r w:rsidRPr="00350FE5">
              <w:rPr>
                <w:rFonts w:eastAsia="Times New Roman"/>
              </w:rPr>
              <w:t>0.08</w:t>
            </w:r>
          </w:p>
        </w:tc>
        <w:tc>
          <w:tcPr>
            <w:tcW w:w="687" w:type="pct"/>
            <w:gridSpan w:val="2"/>
            <w:tcBorders>
              <w:top w:val="single" w:sz="4" w:space="0" w:color="9BC2E6"/>
              <w:left w:val="nil"/>
              <w:bottom w:val="single" w:sz="4" w:space="0" w:color="9BC2E6"/>
              <w:right w:val="nil"/>
            </w:tcBorders>
            <w:shd w:val="clear" w:color="DDEBF7" w:fill="DDEBF7"/>
            <w:noWrap/>
            <w:vAlign w:val="bottom"/>
            <w:hideMark/>
          </w:tcPr>
          <w:p w:rsidR="006F7FDE" w:rsidRPr="00350FE5" w:rsidRDefault="00682B8D" w:rsidP="009B4300">
            <w:pPr>
              <w:spacing w:after="0" w:line="276" w:lineRule="auto"/>
              <w:jc w:val="both"/>
              <w:rPr>
                <w:rFonts w:eastAsia="Times New Roman"/>
              </w:rPr>
            </w:pPr>
            <w:r w:rsidRPr="00350FE5">
              <w:rPr>
                <w:rFonts w:eastAsia="Times New Roman"/>
              </w:rPr>
              <w:t xml:space="preserve">       </w:t>
            </w:r>
            <w:r w:rsidR="006F7FDE" w:rsidRPr="00350FE5">
              <w:rPr>
                <w:rFonts w:eastAsia="Times New Roman"/>
              </w:rPr>
              <w:t>54.43</w:t>
            </w:r>
          </w:p>
        </w:tc>
        <w:tc>
          <w:tcPr>
            <w:tcW w:w="473" w:type="pct"/>
            <w:tcBorders>
              <w:top w:val="single" w:sz="4" w:space="0" w:color="9BC2E6"/>
              <w:left w:val="nil"/>
              <w:bottom w:val="single" w:sz="4" w:space="0" w:color="9BC2E6"/>
              <w:right w:val="nil"/>
            </w:tcBorders>
            <w:shd w:val="clear" w:color="DDEBF7" w:fill="DDEBF7"/>
            <w:noWrap/>
            <w:vAlign w:val="bottom"/>
            <w:hideMark/>
          </w:tcPr>
          <w:p w:rsidR="006F7FDE" w:rsidRPr="00350FE5" w:rsidRDefault="006F7FDE" w:rsidP="009B4300">
            <w:pPr>
              <w:spacing w:after="0" w:line="276" w:lineRule="auto"/>
              <w:jc w:val="both"/>
              <w:rPr>
                <w:rFonts w:eastAsia="Times New Roman"/>
              </w:rPr>
            </w:pPr>
            <w:r w:rsidRPr="00350FE5">
              <w:rPr>
                <w:rFonts w:eastAsia="Times New Roman"/>
              </w:rPr>
              <w:t>51.59</w:t>
            </w:r>
          </w:p>
        </w:tc>
        <w:tc>
          <w:tcPr>
            <w:tcW w:w="471" w:type="pct"/>
            <w:tcBorders>
              <w:top w:val="single" w:sz="4" w:space="0" w:color="9BC2E6"/>
              <w:left w:val="nil"/>
              <w:bottom w:val="single" w:sz="4" w:space="0" w:color="9BC2E6"/>
              <w:right w:val="nil"/>
            </w:tcBorders>
            <w:shd w:val="clear" w:color="DDEBF7" w:fill="DDEBF7"/>
            <w:noWrap/>
            <w:vAlign w:val="bottom"/>
            <w:hideMark/>
          </w:tcPr>
          <w:p w:rsidR="006F7FDE" w:rsidRPr="00350FE5" w:rsidRDefault="006F7FDE" w:rsidP="009B4300">
            <w:pPr>
              <w:spacing w:after="0" w:line="276" w:lineRule="auto"/>
              <w:jc w:val="both"/>
              <w:rPr>
                <w:rFonts w:eastAsia="Times New Roman"/>
              </w:rPr>
            </w:pPr>
            <w:r w:rsidRPr="00350FE5">
              <w:rPr>
                <w:rFonts w:eastAsia="Times New Roman"/>
              </w:rPr>
              <w:t>43.07</w:t>
            </w:r>
          </w:p>
        </w:tc>
        <w:tc>
          <w:tcPr>
            <w:tcW w:w="605" w:type="pct"/>
            <w:tcBorders>
              <w:top w:val="single" w:sz="4" w:space="0" w:color="9BC2E6"/>
              <w:left w:val="nil"/>
              <w:bottom w:val="single" w:sz="4" w:space="0" w:color="9BC2E6"/>
              <w:right w:val="single" w:sz="4" w:space="0" w:color="9BC2E6"/>
            </w:tcBorders>
            <w:shd w:val="clear" w:color="DDEBF7" w:fill="DDEBF7"/>
            <w:noWrap/>
            <w:vAlign w:val="bottom"/>
            <w:hideMark/>
          </w:tcPr>
          <w:p w:rsidR="006F7FDE" w:rsidRPr="00350FE5" w:rsidRDefault="006F7FDE" w:rsidP="009B4300">
            <w:pPr>
              <w:spacing w:after="0" w:line="276" w:lineRule="auto"/>
              <w:jc w:val="both"/>
              <w:rPr>
                <w:rFonts w:eastAsia="Times New Roman"/>
              </w:rPr>
            </w:pPr>
            <w:r w:rsidRPr="00350FE5">
              <w:rPr>
                <w:rFonts w:eastAsia="Times New Roman"/>
              </w:rPr>
              <w:t>18.88</w:t>
            </w:r>
          </w:p>
        </w:tc>
      </w:tr>
      <w:tr w:rsidR="006F7FDE" w:rsidRPr="00350FE5" w:rsidTr="0064112C">
        <w:trPr>
          <w:trHeight w:val="296"/>
        </w:trPr>
        <w:tc>
          <w:tcPr>
            <w:tcW w:w="960" w:type="pct"/>
            <w:tcBorders>
              <w:top w:val="single" w:sz="4" w:space="0" w:color="9BC2E6"/>
              <w:left w:val="single" w:sz="4" w:space="0" w:color="9BC2E6"/>
              <w:bottom w:val="single" w:sz="4" w:space="0" w:color="9BC2E6"/>
              <w:right w:val="nil"/>
            </w:tcBorders>
            <w:shd w:val="clear" w:color="auto" w:fill="auto"/>
            <w:noWrap/>
            <w:vAlign w:val="bottom"/>
            <w:hideMark/>
          </w:tcPr>
          <w:p w:rsidR="006F7FDE" w:rsidRPr="00350FE5" w:rsidRDefault="006F7FDE" w:rsidP="009B4300">
            <w:pPr>
              <w:spacing w:after="0" w:line="276" w:lineRule="auto"/>
              <w:jc w:val="both"/>
              <w:rPr>
                <w:rFonts w:eastAsia="Times New Roman"/>
              </w:rPr>
            </w:pPr>
            <w:r w:rsidRPr="00350FE5">
              <w:rPr>
                <w:rFonts w:eastAsia="Times New Roman"/>
              </w:rPr>
              <w:t>PCBs (43)</w:t>
            </w:r>
          </w:p>
        </w:tc>
        <w:tc>
          <w:tcPr>
            <w:tcW w:w="505" w:type="pct"/>
            <w:tcBorders>
              <w:top w:val="single" w:sz="4" w:space="0" w:color="9BC2E6"/>
              <w:left w:val="nil"/>
              <w:bottom w:val="single" w:sz="4" w:space="0" w:color="9BC2E6"/>
              <w:right w:val="nil"/>
            </w:tcBorders>
            <w:shd w:val="clear" w:color="auto" w:fill="auto"/>
            <w:noWrap/>
            <w:vAlign w:val="bottom"/>
            <w:hideMark/>
          </w:tcPr>
          <w:p w:rsidR="006F7FDE" w:rsidRPr="00350FE5" w:rsidRDefault="006F7FDE" w:rsidP="009B4300">
            <w:pPr>
              <w:spacing w:after="0" w:line="276" w:lineRule="auto"/>
              <w:jc w:val="both"/>
              <w:rPr>
                <w:rFonts w:eastAsia="Times New Roman"/>
              </w:rPr>
            </w:pPr>
            <w:r w:rsidRPr="00350FE5">
              <w:rPr>
                <w:rFonts w:eastAsia="Times New Roman"/>
              </w:rPr>
              <w:t>4.81</w:t>
            </w:r>
          </w:p>
        </w:tc>
        <w:tc>
          <w:tcPr>
            <w:tcW w:w="414" w:type="pct"/>
            <w:gridSpan w:val="2"/>
            <w:tcBorders>
              <w:top w:val="single" w:sz="4" w:space="0" w:color="9BC2E6"/>
              <w:left w:val="nil"/>
              <w:bottom w:val="single" w:sz="4" w:space="0" w:color="9BC2E6"/>
              <w:right w:val="nil"/>
            </w:tcBorders>
            <w:shd w:val="clear" w:color="auto" w:fill="auto"/>
            <w:noWrap/>
            <w:vAlign w:val="bottom"/>
            <w:hideMark/>
          </w:tcPr>
          <w:p w:rsidR="006F7FDE" w:rsidRPr="00350FE5" w:rsidRDefault="006F7FDE" w:rsidP="009B4300">
            <w:pPr>
              <w:spacing w:after="0" w:line="276" w:lineRule="auto"/>
              <w:jc w:val="both"/>
              <w:rPr>
                <w:rFonts w:eastAsia="Times New Roman"/>
              </w:rPr>
            </w:pPr>
            <w:r w:rsidRPr="00350FE5">
              <w:rPr>
                <w:rFonts w:eastAsia="Times New Roman"/>
              </w:rPr>
              <w:t>5.93</w:t>
            </w:r>
          </w:p>
        </w:tc>
        <w:tc>
          <w:tcPr>
            <w:tcW w:w="414" w:type="pct"/>
            <w:tcBorders>
              <w:top w:val="single" w:sz="4" w:space="0" w:color="9BC2E6"/>
              <w:left w:val="nil"/>
              <w:bottom w:val="single" w:sz="4" w:space="0" w:color="9BC2E6"/>
              <w:right w:val="nil"/>
            </w:tcBorders>
            <w:shd w:val="clear" w:color="auto" w:fill="auto"/>
            <w:noWrap/>
            <w:vAlign w:val="bottom"/>
            <w:hideMark/>
          </w:tcPr>
          <w:p w:rsidR="006F7FDE" w:rsidRPr="00350FE5" w:rsidRDefault="006F7FDE" w:rsidP="009B4300">
            <w:pPr>
              <w:spacing w:after="0" w:line="276" w:lineRule="auto"/>
              <w:jc w:val="both"/>
              <w:rPr>
                <w:rFonts w:eastAsia="Times New Roman"/>
              </w:rPr>
            </w:pPr>
            <w:r w:rsidRPr="00350FE5">
              <w:rPr>
                <w:rFonts w:eastAsia="Times New Roman"/>
              </w:rPr>
              <w:t>8.71</w:t>
            </w:r>
          </w:p>
        </w:tc>
        <w:tc>
          <w:tcPr>
            <w:tcW w:w="471" w:type="pct"/>
            <w:tcBorders>
              <w:top w:val="single" w:sz="4" w:space="0" w:color="9BC2E6"/>
              <w:left w:val="nil"/>
              <w:bottom w:val="single" w:sz="4" w:space="0" w:color="9BC2E6"/>
              <w:right w:val="nil"/>
            </w:tcBorders>
            <w:shd w:val="clear" w:color="auto" w:fill="auto"/>
            <w:noWrap/>
            <w:vAlign w:val="bottom"/>
            <w:hideMark/>
          </w:tcPr>
          <w:p w:rsidR="006F7FDE" w:rsidRPr="00350FE5" w:rsidRDefault="006F7FDE" w:rsidP="009B4300">
            <w:pPr>
              <w:spacing w:after="0" w:line="276" w:lineRule="auto"/>
              <w:jc w:val="both"/>
              <w:rPr>
                <w:rFonts w:eastAsia="Times New Roman"/>
              </w:rPr>
            </w:pPr>
            <w:r w:rsidRPr="00350FE5">
              <w:rPr>
                <w:rFonts w:eastAsia="Times New Roman"/>
              </w:rPr>
              <w:t>11.37</w:t>
            </w:r>
          </w:p>
        </w:tc>
        <w:tc>
          <w:tcPr>
            <w:tcW w:w="687" w:type="pct"/>
            <w:gridSpan w:val="2"/>
            <w:tcBorders>
              <w:top w:val="single" w:sz="4" w:space="0" w:color="9BC2E6"/>
              <w:left w:val="nil"/>
              <w:bottom w:val="single" w:sz="4" w:space="0" w:color="9BC2E6"/>
              <w:right w:val="nil"/>
            </w:tcBorders>
            <w:shd w:val="clear" w:color="auto" w:fill="auto"/>
            <w:noWrap/>
            <w:vAlign w:val="bottom"/>
            <w:hideMark/>
          </w:tcPr>
          <w:p w:rsidR="006F7FDE" w:rsidRPr="00350FE5" w:rsidRDefault="006F7FDE" w:rsidP="009B4300">
            <w:pPr>
              <w:spacing w:after="0" w:line="276" w:lineRule="auto"/>
              <w:jc w:val="both"/>
              <w:rPr>
                <w:rFonts w:eastAsia="Times New Roman"/>
              </w:rPr>
            </w:pPr>
            <w:r w:rsidRPr="00350FE5">
              <w:rPr>
                <w:rFonts w:eastAsia="Times New Roman"/>
              </w:rPr>
              <w:t xml:space="preserve"> </w:t>
            </w:r>
            <w:r w:rsidR="00682B8D" w:rsidRPr="00350FE5">
              <w:rPr>
                <w:rFonts w:eastAsia="Times New Roman"/>
              </w:rPr>
              <w:t xml:space="preserve">       </w:t>
            </w:r>
            <w:r w:rsidRPr="00350FE5">
              <w:rPr>
                <w:rFonts w:eastAsia="Times New Roman"/>
              </w:rPr>
              <w:t>14.12</w:t>
            </w:r>
          </w:p>
        </w:tc>
        <w:tc>
          <w:tcPr>
            <w:tcW w:w="473" w:type="pct"/>
            <w:tcBorders>
              <w:top w:val="single" w:sz="4" w:space="0" w:color="9BC2E6"/>
              <w:left w:val="nil"/>
              <w:bottom w:val="single" w:sz="4" w:space="0" w:color="9BC2E6"/>
              <w:right w:val="nil"/>
            </w:tcBorders>
            <w:shd w:val="clear" w:color="auto" w:fill="auto"/>
            <w:noWrap/>
            <w:vAlign w:val="bottom"/>
            <w:hideMark/>
          </w:tcPr>
          <w:p w:rsidR="006F7FDE" w:rsidRPr="00350FE5" w:rsidRDefault="006F7FDE" w:rsidP="009B4300">
            <w:pPr>
              <w:spacing w:after="0" w:line="276" w:lineRule="auto"/>
              <w:jc w:val="both"/>
              <w:rPr>
                <w:rFonts w:eastAsia="Times New Roman"/>
              </w:rPr>
            </w:pPr>
            <w:r w:rsidRPr="00350FE5">
              <w:rPr>
                <w:rFonts w:eastAsia="Times New Roman"/>
              </w:rPr>
              <w:t>12.94</w:t>
            </w:r>
          </w:p>
        </w:tc>
        <w:tc>
          <w:tcPr>
            <w:tcW w:w="471" w:type="pct"/>
            <w:tcBorders>
              <w:top w:val="single" w:sz="4" w:space="0" w:color="9BC2E6"/>
              <w:left w:val="nil"/>
              <w:bottom w:val="single" w:sz="4" w:space="0" w:color="9BC2E6"/>
              <w:right w:val="nil"/>
            </w:tcBorders>
            <w:shd w:val="clear" w:color="auto" w:fill="auto"/>
            <w:noWrap/>
            <w:vAlign w:val="bottom"/>
            <w:hideMark/>
          </w:tcPr>
          <w:p w:rsidR="006F7FDE" w:rsidRPr="00350FE5" w:rsidRDefault="006F7FDE" w:rsidP="009B4300">
            <w:pPr>
              <w:spacing w:after="0" w:line="276" w:lineRule="auto"/>
              <w:jc w:val="both"/>
              <w:rPr>
                <w:rFonts w:eastAsia="Times New Roman"/>
              </w:rPr>
            </w:pPr>
            <w:r w:rsidRPr="00350FE5">
              <w:rPr>
                <w:rFonts w:eastAsia="Times New Roman"/>
              </w:rPr>
              <w:t>13.07</w:t>
            </w:r>
          </w:p>
        </w:tc>
        <w:tc>
          <w:tcPr>
            <w:tcW w:w="605" w:type="pct"/>
            <w:tcBorders>
              <w:top w:val="single" w:sz="4" w:space="0" w:color="9BC2E6"/>
              <w:left w:val="nil"/>
              <w:bottom w:val="single" w:sz="4" w:space="0" w:color="9BC2E6"/>
              <w:right w:val="single" w:sz="4" w:space="0" w:color="9BC2E6"/>
            </w:tcBorders>
            <w:shd w:val="clear" w:color="auto" w:fill="auto"/>
            <w:noWrap/>
            <w:vAlign w:val="bottom"/>
            <w:hideMark/>
          </w:tcPr>
          <w:p w:rsidR="006F7FDE" w:rsidRPr="00350FE5" w:rsidRDefault="006F7FDE" w:rsidP="009B4300">
            <w:pPr>
              <w:spacing w:after="0" w:line="276" w:lineRule="auto"/>
              <w:jc w:val="both"/>
              <w:rPr>
                <w:rFonts w:eastAsia="Times New Roman"/>
              </w:rPr>
            </w:pPr>
            <w:r w:rsidRPr="00350FE5">
              <w:rPr>
                <w:rFonts w:eastAsia="Times New Roman"/>
              </w:rPr>
              <w:t>40.01</w:t>
            </w:r>
          </w:p>
        </w:tc>
      </w:tr>
      <w:tr w:rsidR="006F7FDE" w:rsidRPr="00350FE5" w:rsidTr="0064112C">
        <w:trPr>
          <w:trHeight w:val="296"/>
        </w:trPr>
        <w:tc>
          <w:tcPr>
            <w:tcW w:w="960" w:type="pct"/>
            <w:tcBorders>
              <w:top w:val="single" w:sz="4" w:space="0" w:color="9BC2E6"/>
              <w:left w:val="single" w:sz="4" w:space="0" w:color="9BC2E6"/>
              <w:bottom w:val="single" w:sz="4" w:space="0" w:color="9BC2E6"/>
              <w:right w:val="nil"/>
            </w:tcBorders>
            <w:shd w:val="clear" w:color="DDEBF7" w:fill="DDEBF7"/>
            <w:noWrap/>
            <w:vAlign w:val="bottom"/>
            <w:hideMark/>
          </w:tcPr>
          <w:p w:rsidR="006F7FDE" w:rsidRPr="00350FE5" w:rsidRDefault="006F7FDE" w:rsidP="009B4300">
            <w:pPr>
              <w:spacing w:after="0" w:line="276" w:lineRule="auto"/>
              <w:jc w:val="both"/>
              <w:rPr>
                <w:rFonts w:eastAsia="Times New Roman"/>
              </w:rPr>
            </w:pPr>
            <w:r w:rsidRPr="00350FE5">
              <w:rPr>
                <w:rFonts w:eastAsia="Times New Roman"/>
              </w:rPr>
              <w:t>FCBs (09)</w:t>
            </w:r>
          </w:p>
        </w:tc>
        <w:tc>
          <w:tcPr>
            <w:tcW w:w="505" w:type="pct"/>
            <w:tcBorders>
              <w:top w:val="single" w:sz="4" w:space="0" w:color="9BC2E6"/>
              <w:left w:val="nil"/>
              <w:bottom w:val="single" w:sz="4" w:space="0" w:color="9BC2E6"/>
              <w:right w:val="nil"/>
            </w:tcBorders>
            <w:shd w:val="clear" w:color="DDEBF7" w:fill="DDEBF7"/>
            <w:noWrap/>
            <w:vAlign w:val="bottom"/>
            <w:hideMark/>
          </w:tcPr>
          <w:p w:rsidR="006F7FDE" w:rsidRPr="00350FE5" w:rsidRDefault="006F7FDE" w:rsidP="009B4300">
            <w:pPr>
              <w:spacing w:after="0" w:line="276" w:lineRule="auto"/>
              <w:jc w:val="both"/>
              <w:rPr>
                <w:rFonts w:eastAsia="Times New Roman"/>
              </w:rPr>
            </w:pPr>
            <w:r w:rsidRPr="00350FE5">
              <w:rPr>
                <w:rFonts w:eastAsia="Times New Roman"/>
              </w:rPr>
              <w:t>1.34</w:t>
            </w:r>
          </w:p>
        </w:tc>
        <w:tc>
          <w:tcPr>
            <w:tcW w:w="414" w:type="pct"/>
            <w:gridSpan w:val="2"/>
            <w:tcBorders>
              <w:top w:val="single" w:sz="4" w:space="0" w:color="9BC2E6"/>
              <w:left w:val="nil"/>
              <w:bottom w:val="single" w:sz="4" w:space="0" w:color="9BC2E6"/>
              <w:right w:val="nil"/>
            </w:tcBorders>
            <w:shd w:val="clear" w:color="DDEBF7" w:fill="DDEBF7"/>
            <w:noWrap/>
            <w:vAlign w:val="bottom"/>
            <w:hideMark/>
          </w:tcPr>
          <w:p w:rsidR="006F7FDE" w:rsidRPr="00350FE5" w:rsidRDefault="006F7FDE" w:rsidP="009B4300">
            <w:pPr>
              <w:spacing w:after="0" w:line="276" w:lineRule="auto"/>
              <w:jc w:val="both"/>
              <w:rPr>
                <w:rFonts w:eastAsia="Times New Roman"/>
              </w:rPr>
            </w:pPr>
            <w:r w:rsidRPr="00350FE5">
              <w:rPr>
                <w:rFonts w:eastAsia="Times New Roman"/>
              </w:rPr>
              <w:t>4.93</w:t>
            </w:r>
          </w:p>
        </w:tc>
        <w:tc>
          <w:tcPr>
            <w:tcW w:w="414" w:type="pct"/>
            <w:tcBorders>
              <w:top w:val="single" w:sz="4" w:space="0" w:color="9BC2E6"/>
              <w:left w:val="nil"/>
              <w:bottom w:val="single" w:sz="4" w:space="0" w:color="9BC2E6"/>
              <w:right w:val="nil"/>
            </w:tcBorders>
            <w:shd w:val="clear" w:color="DDEBF7" w:fill="DDEBF7"/>
            <w:noWrap/>
            <w:vAlign w:val="bottom"/>
            <w:hideMark/>
          </w:tcPr>
          <w:p w:rsidR="006F7FDE" w:rsidRPr="00350FE5" w:rsidRDefault="006F7FDE" w:rsidP="009B4300">
            <w:pPr>
              <w:spacing w:after="0" w:line="276" w:lineRule="auto"/>
              <w:jc w:val="both"/>
              <w:rPr>
                <w:rFonts w:eastAsia="Times New Roman"/>
              </w:rPr>
            </w:pPr>
            <w:r w:rsidRPr="00350FE5">
              <w:rPr>
                <w:rFonts w:eastAsia="Times New Roman"/>
              </w:rPr>
              <w:t>1.78</w:t>
            </w:r>
          </w:p>
        </w:tc>
        <w:tc>
          <w:tcPr>
            <w:tcW w:w="471" w:type="pct"/>
            <w:tcBorders>
              <w:top w:val="single" w:sz="4" w:space="0" w:color="9BC2E6"/>
              <w:left w:val="nil"/>
              <w:bottom w:val="single" w:sz="4" w:space="0" w:color="9BC2E6"/>
              <w:right w:val="nil"/>
            </w:tcBorders>
            <w:shd w:val="clear" w:color="DDEBF7" w:fill="DDEBF7"/>
            <w:noWrap/>
            <w:vAlign w:val="bottom"/>
            <w:hideMark/>
          </w:tcPr>
          <w:p w:rsidR="006F7FDE" w:rsidRPr="00350FE5" w:rsidRDefault="006F7FDE" w:rsidP="009B4300">
            <w:pPr>
              <w:spacing w:after="0" w:line="276" w:lineRule="auto"/>
              <w:jc w:val="both"/>
              <w:rPr>
                <w:rFonts w:eastAsia="Times New Roman"/>
              </w:rPr>
            </w:pPr>
            <w:r w:rsidRPr="00350FE5">
              <w:rPr>
                <w:rFonts w:eastAsia="Times New Roman"/>
              </w:rPr>
              <w:t>7.45</w:t>
            </w:r>
          </w:p>
        </w:tc>
        <w:tc>
          <w:tcPr>
            <w:tcW w:w="687" w:type="pct"/>
            <w:gridSpan w:val="2"/>
            <w:tcBorders>
              <w:top w:val="single" w:sz="4" w:space="0" w:color="9BC2E6"/>
              <w:left w:val="nil"/>
              <w:bottom w:val="single" w:sz="4" w:space="0" w:color="9BC2E6"/>
              <w:right w:val="nil"/>
            </w:tcBorders>
            <w:shd w:val="clear" w:color="DDEBF7" w:fill="DDEBF7"/>
            <w:noWrap/>
            <w:vAlign w:val="bottom"/>
            <w:hideMark/>
          </w:tcPr>
          <w:p w:rsidR="006F7FDE" w:rsidRPr="00350FE5" w:rsidRDefault="006F7FDE" w:rsidP="009B4300">
            <w:pPr>
              <w:spacing w:after="0" w:line="276" w:lineRule="auto"/>
              <w:jc w:val="both"/>
              <w:rPr>
                <w:rFonts w:eastAsia="Times New Roman"/>
              </w:rPr>
            </w:pPr>
            <w:r w:rsidRPr="00350FE5">
              <w:rPr>
                <w:rFonts w:eastAsia="Times New Roman"/>
              </w:rPr>
              <w:t xml:space="preserve">   </w:t>
            </w:r>
            <w:r w:rsidR="00682B8D" w:rsidRPr="00350FE5">
              <w:rPr>
                <w:rFonts w:eastAsia="Times New Roman"/>
              </w:rPr>
              <w:t xml:space="preserve">     </w:t>
            </w:r>
            <w:r w:rsidRPr="00350FE5">
              <w:rPr>
                <w:rFonts w:eastAsia="Times New Roman"/>
              </w:rPr>
              <w:t>9.83</w:t>
            </w:r>
          </w:p>
        </w:tc>
        <w:tc>
          <w:tcPr>
            <w:tcW w:w="473" w:type="pct"/>
            <w:tcBorders>
              <w:top w:val="single" w:sz="4" w:space="0" w:color="9BC2E6"/>
              <w:left w:val="nil"/>
              <w:bottom w:val="single" w:sz="4" w:space="0" w:color="9BC2E6"/>
              <w:right w:val="nil"/>
            </w:tcBorders>
            <w:shd w:val="clear" w:color="DDEBF7" w:fill="DDEBF7"/>
            <w:noWrap/>
            <w:vAlign w:val="bottom"/>
            <w:hideMark/>
          </w:tcPr>
          <w:p w:rsidR="006F7FDE" w:rsidRPr="00350FE5" w:rsidRDefault="006F7FDE" w:rsidP="009B4300">
            <w:pPr>
              <w:spacing w:after="0" w:line="276" w:lineRule="auto"/>
              <w:jc w:val="both"/>
              <w:rPr>
                <w:rFonts w:eastAsia="Times New Roman"/>
              </w:rPr>
            </w:pPr>
            <w:r w:rsidRPr="00350FE5">
              <w:rPr>
                <w:rFonts w:eastAsia="Times New Roman"/>
              </w:rPr>
              <w:t>10.39</w:t>
            </w:r>
          </w:p>
        </w:tc>
        <w:tc>
          <w:tcPr>
            <w:tcW w:w="471" w:type="pct"/>
            <w:tcBorders>
              <w:top w:val="single" w:sz="4" w:space="0" w:color="9BC2E6"/>
              <w:left w:val="nil"/>
              <w:bottom w:val="single" w:sz="4" w:space="0" w:color="9BC2E6"/>
              <w:right w:val="nil"/>
            </w:tcBorders>
            <w:shd w:val="clear" w:color="DDEBF7" w:fill="DDEBF7"/>
            <w:noWrap/>
            <w:vAlign w:val="bottom"/>
            <w:hideMark/>
          </w:tcPr>
          <w:p w:rsidR="006F7FDE" w:rsidRPr="00350FE5" w:rsidRDefault="006F7FDE" w:rsidP="009B4300">
            <w:pPr>
              <w:spacing w:after="0" w:line="276" w:lineRule="auto"/>
              <w:jc w:val="both"/>
              <w:rPr>
                <w:rFonts w:eastAsia="Times New Roman"/>
              </w:rPr>
            </w:pPr>
            <w:r w:rsidRPr="00350FE5">
              <w:rPr>
                <w:rFonts w:eastAsia="Times New Roman"/>
              </w:rPr>
              <w:t>10.48</w:t>
            </w:r>
          </w:p>
        </w:tc>
        <w:tc>
          <w:tcPr>
            <w:tcW w:w="605" w:type="pct"/>
            <w:tcBorders>
              <w:top w:val="single" w:sz="4" w:space="0" w:color="9BC2E6"/>
              <w:left w:val="nil"/>
              <w:bottom w:val="single" w:sz="4" w:space="0" w:color="9BC2E6"/>
              <w:right w:val="single" w:sz="4" w:space="0" w:color="9BC2E6"/>
            </w:tcBorders>
            <w:shd w:val="clear" w:color="DDEBF7" w:fill="DDEBF7"/>
            <w:noWrap/>
            <w:vAlign w:val="bottom"/>
            <w:hideMark/>
          </w:tcPr>
          <w:p w:rsidR="006F7FDE" w:rsidRPr="00350FE5" w:rsidRDefault="006F7FDE" w:rsidP="009B4300">
            <w:pPr>
              <w:spacing w:after="0" w:line="276" w:lineRule="auto"/>
              <w:jc w:val="both"/>
              <w:rPr>
                <w:rFonts w:eastAsia="Times New Roman"/>
              </w:rPr>
            </w:pPr>
            <w:r w:rsidRPr="00350FE5">
              <w:rPr>
                <w:rFonts w:eastAsia="Times New Roman"/>
              </w:rPr>
              <w:t>16.99</w:t>
            </w:r>
          </w:p>
        </w:tc>
      </w:tr>
      <w:tr w:rsidR="006F7FDE" w:rsidRPr="00350FE5" w:rsidTr="0064112C">
        <w:trPr>
          <w:trHeight w:val="296"/>
        </w:trPr>
        <w:tc>
          <w:tcPr>
            <w:tcW w:w="960" w:type="pct"/>
            <w:tcBorders>
              <w:top w:val="single" w:sz="4" w:space="0" w:color="9BC2E6"/>
              <w:left w:val="single" w:sz="4" w:space="0" w:color="9BC2E6"/>
              <w:bottom w:val="single" w:sz="4" w:space="0" w:color="9BC2E6"/>
              <w:right w:val="nil"/>
            </w:tcBorders>
            <w:shd w:val="clear" w:color="auto" w:fill="auto"/>
            <w:noWrap/>
            <w:vAlign w:val="bottom"/>
            <w:hideMark/>
          </w:tcPr>
          <w:p w:rsidR="006F7FDE" w:rsidRPr="00350FE5" w:rsidRDefault="006F7FDE" w:rsidP="009B4300">
            <w:pPr>
              <w:spacing w:after="0" w:line="276" w:lineRule="auto"/>
              <w:jc w:val="both"/>
              <w:rPr>
                <w:rFonts w:eastAsia="Times New Roman"/>
              </w:rPr>
            </w:pPr>
            <w:r w:rsidRPr="00350FE5">
              <w:rPr>
                <w:rFonts w:eastAsia="Times New Roman"/>
              </w:rPr>
              <w:t>Bank's Total</w:t>
            </w:r>
          </w:p>
        </w:tc>
        <w:tc>
          <w:tcPr>
            <w:tcW w:w="505" w:type="pct"/>
            <w:tcBorders>
              <w:top w:val="single" w:sz="4" w:space="0" w:color="9BC2E6"/>
              <w:left w:val="nil"/>
              <w:bottom w:val="single" w:sz="4" w:space="0" w:color="9BC2E6"/>
              <w:right w:val="nil"/>
            </w:tcBorders>
            <w:shd w:val="clear" w:color="auto" w:fill="auto"/>
            <w:noWrap/>
            <w:vAlign w:val="bottom"/>
            <w:hideMark/>
          </w:tcPr>
          <w:p w:rsidR="006F7FDE" w:rsidRPr="00350FE5" w:rsidRDefault="006F7FDE" w:rsidP="009B4300">
            <w:pPr>
              <w:spacing w:after="0" w:line="276" w:lineRule="auto"/>
              <w:jc w:val="both"/>
              <w:rPr>
                <w:rFonts w:eastAsia="Times New Roman"/>
              </w:rPr>
            </w:pPr>
            <w:r w:rsidRPr="00350FE5">
              <w:rPr>
                <w:rFonts w:eastAsia="Times New Roman"/>
              </w:rPr>
              <w:t>4.16</w:t>
            </w:r>
          </w:p>
        </w:tc>
        <w:tc>
          <w:tcPr>
            <w:tcW w:w="414" w:type="pct"/>
            <w:gridSpan w:val="2"/>
            <w:tcBorders>
              <w:top w:val="single" w:sz="4" w:space="0" w:color="9BC2E6"/>
              <w:left w:val="nil"/>
              <w:bottom w:val="single" w:sz="4" w:space="0" w:color="9BC2E6"/>
              <w:right w:val="nil"/>
            </w:tcBorders>
            <w:shd w:val="clear" w:color="auto" w:fill="auto"/>
            <w:noWrap/>
            <w:vAlign w:val="bottom"/>
            <w:hideMark/>
          </w:tcPr>
          <w:p w:rsidR="006F7FDE" w:rsidRPr="00350FE5" w:rsidRDefault="006F7FDE" w:rsidP="009B4300">
            <w:pPr>
              <w:spacing w:after="0" w:line="276" w:lineRule="auto"/>
              <w:jc w:val="both"/>
              <w:rPr>
                <w:rFonts w:eastAsia="Times New Roman"/>
              </w:rPr>
            </w:pPr>
            <w:r w:rsidRPr="00350FE5">
              <w:rPr>
                <w:rFonts w:eastAsia="Times New Roman"/>
              </w:rPr>
              <w:t>5.30</w:t>
            </w:r>
          </w:p>
        </w:tc>
        <w:tc>
          <w:tcPr>
            <w:tcW w:w="414" w:type="pct"/>
            <w:tcBorders>
              <w:top w:val="single" w:sz="4" w:space="0" w:color="9BC2E6"/>
              <w:left w:val="nil"/>
              <w:bottom w:val="single" w:sz="4" w:space="0" w:color="9BC2E6"/>
              <w:right w:val="nil"/>
            </w:tcBorders>
            <w:shd w:val="clear" w:color="auto" w:fill="auto"/>
            <w:noWrap/>
            <w:vAlign w:val="bottom"/>
            <w:hideMark/>
          </w:tcPr>
          <w:p w:rsidR="006F7FDE" w:rsidRPr="00350FE5" w:rsidRDefault="006F7FDE" w:rsidP="009B4300">
            <w:pPr>
              <w:spacing w:after="0" w:line="276" w:lineRule="auto"/>
              <w:jc w:val="both"/>
              <w:rPr>
                <w:rFonts w:eastAsia="Times New Roman"/>
              </w:rPr>
            </w:pPr>
            <w:r w:rsidRPr="00350FE5">
              <w:rPr>
                <w:rFonts w:eastAsia="Times New Roman"/>
              </w:rPr>
              <w:t>7.15</w:t>
            </w:r>
          </w:p>
        </w:tc>
        <w:tc>
          <w:tcPr>
            <w:tcW w:w="471" w:type="pct"/>
            <w:tcBorders>
              <w:top w:val="single" w:sz="4" w:space="0" w:color="9BC2E6"/>
              <w:left w:val="nil"/>
              <w:bottom w:val="single" w:sz="4" w:space="0" w:color="9BC2E6"/>
              <w:right w:val="nil"/>
            </w:tcBorders>
            <w:shd w:val="clear" w:color="auto" w:fill="auto"/>
            <w:noWrap/>
            <w:vAlign w:val="bottom"/>
            <w:hideMark/>
          </w:tcPr>
          <w:p w:rsidR="006F7FDE" w:rsidRPr="00350FE5" w:rsidRDefault="006F7FDE" w:rsidP="009B4300">
            <w:pPr>
              <w:spacing w:after="0" w:line="276" w:lineRule="auto"/>
              <w:jc w:val="both"/>
              <w:rPr>
                <w:rFonts w:eastAsia="Times New Roman"/>
              </w:rPr>
            </w:pPr>
            <w:r w:rsidRPr="00350FE5">
              <w:rPr>
                <w:rFonts w:eastAsia="Times New Roman"/>
              </w:rPr>
              <w:t>9.09</w:t>
            </w:r>
          </w:p>
        </w:tc>
        <w:tc>
          <w:tcPr>
            <w:tcW w:w="687" w:type="pct"/>
            <w:gridSpan w:val="2"/>
            <w:tcBorders>
              <w:top w:val="single" w:sz="4" w:space="0" w:color="9BC2E6"/>
              <w:left w:val="nil"/>
              <w:bottom w:val="single" w:sz="4" w:space="0" w:color="9BC2E6"/>
              <w:right w:val="nil"/>
            </w:tcBorders>
            <w:shd w:val="clear" w:color="auto" w:fill="auto"/>
            <w:noWrap/>
            <w:vAlign w:val="bottom"/>
            <w:hideMark/>
          </w:tcPr>
          <w:p w:rsidR="006F7FDE" w:rsidRPr="00350FE5" w:rsidRDefault="006F7FDE" w:rsidP="009B4300">
            <w:pPr>
              <w:spacing w:after="0" w:line="276" w:lineRule="auto"/>
              <w:jc w:val="both"/>
              <w:rPr>
                <w:rFonts w:eastAsia="Times New Roman"/>
              </w:rPr>
            </w:pPr>
            <w:r w:rsidRPr="00350FE5">
              <w:rPr>
                <w:rFonts w:eastAsia="Times New Roman"/>
              </w:rPr>
              <w:t xml:space="preserve"> </w:t>
            </w:r>
            <w:r w:rsidR="00682B8D" w:rsidRPr="00350FE5">
              <w:rPr>
                <w:rFonts w:eastAsia="Times New Roman"/>
              </w:rPr>
              <w:t xml:space="preserve">     </w:t>
            </w:r>
            <w:r w:rsidRPr="00350FE5">
              <w:rPr>
                <w:rFonts w:eastAsia="Times New Roman"/>
              </w:rPr>
              <w:t>13.59</w:t>
            </w:r>
          </w:p>
        </w:tc>
        <w:tc>
          <w:tcPr>
            <w:tcW w:w="473" w:type="pct"/>
            <w:tcBorders>
              <w:top w:val="single" w:sz="4" w:space="0" w:color="9BC2E6"/>
              <w:left w:val="nil"/>
              <w:bottom w:val="single" w:sz="4" w:space="0" w:color="9BC2E6"/>
              <w:right w:val="nil"/>
            </w:tcBorders>
            <w:shd w:val="clear" w:color="auto" w:fill="auto"/>
            <w:noWrap/>
            <w:vAlign w:val="bottom"/>
            <w:hideMark/>
          </w:tcPr>
          <w:p w:rsidR="006F7FDE" w:rsidRPr="00350FE5" w:rsidRDefault="006F7FDE" w:rsidP="009B4300">
            <w:pPr>
              <w:spacing w:after="0" w:line="276" w:lineRule="auto"/>
              <w:jc w:val="both"/>
              <w:rPr>
                <w:rFonts w:eastAsia="Times New Roman"/>
              </w:rPr>
            </w:pPr>
            <w:r w:rsidRPr="00350FE5">
              <w:rPr>
                <w:rFonts w:eastAsia="Times New Roman"/>
              </w:rPr>
              <w:t>12.99</w:t>
            </w:r>
          </w:p>
        </w:tc>
        <w:tc>
          <w:tcPr>
            <w:tcW w:w="471" w:type="pct"/>
            <w:tcBorders>
              <w:top w:val="single" w:sz="4" w:space="0" w:color="9BC2E6"/>
              <w:left w:val="nil"/>
              <w:bottom w:val="single" w:sz="4" w:space="0" w:color="9BC2E6"/>
              <w:right w:val="nil"/>
            </w:tcBorders>
            <w:shd w:val="clear" w:color="auto" w:fill="auto"/>
            <w:noWrap/>
            <w:vAlign w:val="bottom"/>
            <w:hideMark/>
          </w:tcPr>
          <w:p w:rsidR="006F7FDE" w:rsidRPr="00350FE5" w:rsidRDefault="006F7FDE" w:rsidP="009B4300">
            <w:pPr>
              <w:spacing w:after="0" w:line="276" w:lineRule="auto"/>
              <w:jc w:val="both"/>
              <w:rPr>
                <w:rFonts w:eastAsia="Times New Roman"/>
              </w:rPr>
            </w:pPr>
            <w:r w:rsidRPr="00350FE5">
              <w:rPr>
                <w:rFonts w:eastAsia="Times New Roman"/>
              </w:rPr>
              <w:t>12.72</w:t>
            </w:r>
          </w:p>
        </w:tc>
        <w:tc>
          <w:tcPr>
            <w:tcW w:w="605" w:type="pct"/>
            <w:tcBorders>
              <w:top w:val="single" w:sz="4" w:space="0" w:color="9BC2E6"/>
              <w:left w:val="nil"/>
              <w:bottom w:val="single" w:sz="4" w:space="0" w:color="9BC2E6"/>
              <w:right w:val="single" w:sz="4" w:space="0" w:color="9BC2E6"/>
            </w:tcBorders>
            <w:shd w:val="clear" w:color="auto" w:fill="auto"/>
            <w:noWrap/>
            <w:vAlign w:val="bottom"/>
            <w:hideMark/>
          </w:tcPr>
          <w:p w:rsidR="006F7FDE" w:rsidRPr="00350FE5" w:rsidRDefault="006F7FDE" w:rsidP="009B4300">
            <w:pPr>
              <w:spacing w:after="0" w:line="276" w:lineRule="auto"/>
              <w:jc w:val="both"/>
              <w:rPr>
                <w:rFonts w:eastAsia="Times New Roman"/>
              </w:rPr>
            </w:pPr>
            <w:r w:rsidRPr="00350FE5">
              <w:rPr>
                <w:rFonts w:eastAsia="Times New Roman"/>
              </w:rPr>
              <w:t>27.24</w:t>
            </w:r>
          </w:p>
        </w:tc>
      </w:tr>
    </w:tbl>
    <w:p w:rsidR="006F7FDE" w:rsidRPr="00350FE5" w:rsidRDefault="006F7FDE" w:rsidP="009B4300">
      <w:pPr>
        <w:spacing w:after="0" w:line="276" w:lineRule="auto"/>
        <w:contextualSpacing/>
        <w:jc w:val="both"/>
        <w:rPr>
          <w:bCs/>
        </w:rPr>
      </w:pPr>
    </w:p>
    <w:p w:rsidR="006F7FDE" w:rsidRPr="00350FE5" w:rsidRDefault="00E94002" w:rsidP="009B4300">
      <w:pPr>
        <w:spacing w:after="0" w:line="276" w:lineRule="auto"/>
        <w:contextualSpacing/>
        <w:jc w:val="both"/>
        <w:rPr>
          <w:bCs/>
        </w:rPr>
      </w:pPr>
      <w:r w:rsidRPr="00350FE5">
        <w:rPr>
          <w:bCs/>
        </w:rPr>
        <w:t>Table 3</w:t>
      </w:r>
      <w:r w:rsidR="006F7FDE" w:rsidRPr="00350FE5">
        <w:rPr>
          <w:bCs/>
        </w:rPr>
        <w:t xml:space="preserve"> indicates a complete bank’s target attainment in 2023 regarding green finance and sustainable finance regarding bank types. The table suggests 43 banks’ green and sustainable finance exposure in 2023. The table shows that Q4 target attainment was 9.09% in GF, while SF was 27.24%. The Bangladesh bank fixed the target for 2021. PCBs were the highest at 11.37%, and SOCBs were the lowest at 1.64% in GF, while in SF, PCBs also achieved the highest at 40.01% </w:t>
      </w:r>
      <w:r w:rsidRPr="00350FE5">
        <w:rPr>
          <w:bCs/>
        </w:rPr>
        <w:t>and the weakest SOCBs at 6.10%.</w:t>
      </w:r>
    </w:p>
    <w:p w:rsidR="00F31428" w:rsidRDefault="00E94002" w:rsidP="009B4300">
      <w:pPr>
        <w:spacing w:after="0" w:line="276" w:lineRule="auto"/>
        <w:contextualSpacing/>
        <w:jc w:val="both"/>
        <w:rPr>
          <w:b/>
          <w:bCs/>
        </w:rPr>
      </w:pPr>
      <w:r w:rsidRPr="00350FE5">
        <w:rPr>
          <w:b/>
          <w:bCs/>
        </w:rPr>
        <w:t xml:space="preserve"> </w:t>
      </w:r>
    </w:p>
    <w:p w:rsidR="00F31428" w:rsidRDefault="00F31428" w:rsidP="009B4300">
      <w:pPr>
        <w:spacing w:after="0" w:line="276" w:lineRule="auto"/>
        <w:contextualSpacing/>
        <w:jc w:val="both"/>
        <w:rPr>
          <w:b/>
          <w:bCs/>
        </w:rPr>
      </w:pPr>
    </w:p>
    <w:p w:rsidR="00F31428" w:rsidRDefault="00F31428" w:rsidP="009B4300">
      <w:pPr>
        <w:spacing w:after="0" w:line="276" w:lineRule="auto"/>
        <w:contextualSpacing/>
        <w:jc w:val="both"/>
        <w:rPr>
          <w:b/>
          <w:bCs/>
        </w:rPr>
      </w:pPr>
      <w:r>
        <w:rPr>
          <w:b/>
          <w:bCs/>
        </w:rPr>
        <w:lastRenderedPageBreak/>
        <w:t xml:space="preserve">4.8 </w:t>
      </w:r>
      <w:r w:rsidRPr="00350FE5">
        <w:rPr>
          <w:b/>
          <w:bCs/>
        </w:rPr>
        <w:t xml:space="preserve">Category-wise </w:t>
      </w:r>
      <w:r>
        <w:rPr>
          <w:b/>
          <w:bCs/>
        </w:rPr>
        <w:t>Green Financing in 2023</w:t>
      </w:r>
      <w:r w:rsidRPr="00350FE5">
        <w:rPr>
          <w:b/>
          <w:bCs/>
        </w:rPr>
        <w:t xml:space="preserve"> </w:t>
      </w:r>
    </w:p>
    <w:p w:rsidR="006F7FDE" w:rsidRPr="00350FE5" w:rsidRDefault="00E94002" w:rsidP="009B4300">
      <w:pPr>
        <w:spacing w:after="0" w:line="276" w:lineRule="auto"/>
        <w:contextualSpacing/>
        <w:jc w:val="both"/>
        <w:rPr>
          <w:b/>
          <w:bCs/>
        </w:rPr>
      </w:pPr>
      <w:r w:rsidRPr="00350FE5">
        <w:rPr>
          <w:b/>
          <w:bCs/>
        </w:rPr>
        <w:t>Table 4</w:t>
      </w:r>
      <w:r w:rsidR="006F7FDE" w:rsidRPr="00350FE5">
        <w:rPr>
          <w:b/>
        </w:rPr>
        <w:t xml:space="preserve"> </w:t>
      </w:r>
      <w:r w:rsidR="006F7FDE" w:rsidRPr="00350FE5">
        <w:rPr>
          <w:b/>
          <w:bCs/>
        </w:rPr>
        <w:t>Category-</w:t>
      </w:r>
      <w:r w:rsidR="00640760" w:rsidRPr="00350FE5">
        <w:rPr>
          <w:b/>
          <w:bCs/>
        </w:rPr>
        <w:t xml:space="preserve">wise GF </w:t>
      </w:r>
      <w:r w:rsidR="006F7FDE" w:rsidRPr="00350FE5">
        <w:rPr>
          <w:b/>
          <w:bCs/>
        </w:rPr>
        <w:t>(in million BDT) in 2023</w:t>
      </w:r>
    </w:p>
    <w:tbl>
      <w:tblPr>
        <w:tblW w:w="8560" w:type="dxa"/>
        <w:tblLook w:val="04A0" w:firstRow="1" w:lastRow="0" w:firstColumn="1" w:lastColumn="0" w:noHBand="0" w:noVBand="1"/>
      </w:tblPr>
      <w:tblGrid>
        <w:gridCol w:w="3880"/>
        <w:gridCol w:w="1337"/>
        <w:gridCol w:w="1177"/>
        <w:gridCol w:w="1163"/>
        <w:gridCol w:w="1163"/>
      </w:tblGrid>
      <w:tr w:rsidR="006F7FDE" w:rsidRPr="00350FE5" w:rsidTr="0064112C">
        <w:trPr>
          <w:trHeight w:val="375"/>
        </w:trPr>
        <w:tc>
          <w:tcPr>
            <w:tcW w:w="3880" w:type="dxa"/>
            <w:tcBorders>
              <w:top w:val="single" w:sz="4" w:space="0" w:color="9BC2E6"/>
              <w:left w:val="single" w:sz="4" w:space="0" w:color="9BC2E6"/>
              <w:bottom w:val="single" w:sz="4" w:space="0" w:color="9BC2E6"/>
              <w:right w:val="nil"/>
            </w:tcBorders>
            <w:shd w:val="clear" w:color="5B9BD5" w:fill="5B9BD5"/>
            <w:noWrap/>
            <w:vAlign w:val="bottom"/>
            <w:hideMark/>
          </w:tcPr>
          <w:p w:rsidR="006F7FDE" w:rsidRPr="00350FE5" w:rsidRDefault="006F7FDE" w:rsidP="009B4300">
            <w:pPr>
              <w:spacing w:after="0" w:line="276" w:lineRule="auto"/>
              <w:jc w:val="both"/>
              <w:rPr>
                <w:rFonts w:eastAsia="Times New Roman"/>
                <w:bCs/>
                <w:color w:val="FFFFFF" w:themeColor="background1"/>
              </w:rPr>
            </w:pPr>
            <w:r w:rsidRPr="00350FE5">
              <w:rPr>
                <w:rFonts w:eastAsia="Times New Roman"/>
                <w:bCs/>
                <w:color w:val="FFFFFF" w:themeColor="background1"/>
              </w:rPr>
              <w:t>Green Finance</w:t>
            </w:r>
            <w:r w:rsidR="00640760" w:rsidRPr="00350FE5">
              <w:rPr>
                <w:rFonts w:eastAsia="Times New Roman"/>
                <w:bCs/>
                <w:color w:val="FFFFFF" w:themeColor="background1"/>
              </w:rPr>
              <w:t xml:space="preserve"> </w:t>
            </w:r>
            <w:r w:rsidRPr="00350FE5">
              <w:rPr>
                <w:rFonts w:eastAsia="Times New Roman"/>
                <w:bCs/>
                <w:color w:val="FFFFFF" w:themeColor="background1"/>
              </w:rPr>
              <w:t>(IV)</w:t>
            </w:r>
          </w:p>
        </w:tc>
        <w:tc>
          <w:tcPr>
            <w:tcW w:w="1280" w:type="dxa"/>
            <w:tcBorders>
              <w:top w:val="single" w:sz="4" w:space="0" w:color="9BC2E6"/>
              <w:left w:val="nil"/>
              <w:bottom w:val="single" w:sz="4" w:space="0" w:color="9BC2E6"/>
              <w:right w:val="nil"/>
            </w:tcBorders>
            <w:shd w:val="clear" w:color="5B9BD5" w:fill="5B9BD5"/>
            <w:noWrap/>
            <w:vAlign w:val="bottom"/>
            <w:hideMark/>
          </w:tcPr>
          <w:p w:rsidR="006F7FDE" w:rsidRPr="00350FE5" w:rsidRDefault="006F7FDE" w:rsidP="009B4300">
            <w:pPr>
              <w:spacing w:after="0" w:line="276" w:lineRule="auto"/>
              <w:jc w:val="both"/>
              <w:rPr>
                <w:rFonts w:eastAsia="Times New Roman"/>
                <w:bCs/>
                <w:color w:val="FFFFFF" w:themeColor="background1"/>
              </w:rPr>
            </w:pPr>
            <w:proofErr w:type="gramStart"/>
            <w:r w:rsidRPr="00350FE5">
              <w:rPr>
                <w:rFonts w:eastAsia="Times New Roman"/>
                <w:bCs/>
                <w:color w:val="FFFFFF" w:themeColor="background1"/>
              </w:rPr>
              <w:t>SOCBs(</w:t>
            </w:r>
            <w:proofErr w:type="gramEnd"/>
            <w:r w:rsidRPr="00350FE5">
              <w:rPr>
                <w:rFonts w:eastAsia="Times New Roman"/>
                <w:bCs/>
                <w:color w:val="FFFFFF" w:themeColor="background1"/>
              </w:rPr>
              <w:t>06)</w:t>
            </w:r>
          </w:p>
        </w:tc>
        <w:tc>
          <w:tcPr>
            <w:tcW w:w="1140" w:type="dxa"/>
            <w:tcBorders>
              <w:top w:val="single" w:sz="4" w:space="0" w:color="9BC2E6"/>
              <w:left w:val="nil"/>
              <w:bottom w:val="single" w:sz="4" w:space="0" w:color="9BC2E6"/>
              <w:right w:val="nil"/>
            </w:tcBorders>
            <w:shd w:val="clear" w:color="5B9BD5" w:fill="5B9BD5"/>
            <w:noWrap/>
            <w:vAlign w:val="bottom"/>
            <w:hideMark/>
          </w:tcPr>
          <w:p w:rsidR="006F7FDE" w:rsidRPr="00350FE5" w:rsidRDefault="006F7FDE" w:rsidP="009B4300">
            <w:pPr>
              <w:spacing w:after="0" w:line="276" w:lineRule="auto"/>
              <w:jc w:val="both"/>
              <w:rPr>
                <w:rFonts w:eastAsia="Times New Roman"/>
                <w:bCs/>
                <w:color w:val="FFFFFF" w:themeColor="background1"/>
              </w:rPr>
            </w:pPr>
            <w:proofErr w:type="gramStart"/>
            <w:r w:rsidRPr="00350FE5">
              <w:rPr>
                <w:rFonts w:eastAsia="Times New Roman"/>
                <w:bCs/>
                <w:color w:val="FFFFFF" w:themeColor="background1"/>
              </w:rPr>
              <w:t>SDBs(</w:t>
            </w:r>
            <w:proofErr w:type="gramEnd"/>
            <w:r w:rsidRPr="00350FE5">
              <w:rPr>
                <w:rFonts w:eastAsia="Times New Roman"/>
                <w:bCs/>
                <w:color w:val="FFFFFF" w:themeColor="background1"/>
              </w:rPr>
              <w:t>03)</w:t>
            </w:r>
          </w:p>
        </w:tc>
        <w:tc>
          <w:tcPr>
            <w:tcW w:w="1140" w:type="dxa"/>
            <w:tcBorders>
              <w:top w:val="single" w:sz="4" w:space="0" w:color="9BC2E6"/>
              <w:left w:val="nil"/>
              <w:bottom w:val="single" w:sz="4" w:space="0" w:color="9BC2E6"/>
              <w:right w:val="nil"/>
            </w:tcBorders>
            <w:shd w:val="clear" w:color="5B9BD5" w:fill="5B9BD5"/>
            <w:noWrap/>
            <w:vAlign w:val="bottom"/>
            <w:hideMark/>
          </w:tcPr>
          <w:p w:rsidR="006F7FDE" w:rsidRPr="00350FE5" w:rsidRDefault="006F7FDE" w:rsidP="009B4300">
            <w:pPr>
              <w:spacing w:after="0" w:line="276" w:lineRule="auto"/>
              <w:jc w:val="both"/>
              <w:rPr>
                <w:rFonts w:eastAsia="Times New Roman"/>
                <w:bCs/>
                <w:color w:val="FFFFFF" w:themeColor="background1"/>
              </w:rPr>
            </w:pPr>
            <w:proofErr w:type="gramStart"/>
            <w:r w:rsidRPr="00350FE5">
              <w:rPr>
                <w:rFonts w:eastAsia="Times New Roman"/>
                <w:bCs/>
                <w:color w:val="FFFFFF" w:themeColor="background1"/>
              </w:rPr>
              <w:t>PCBs(</w:t>
            </w:r>
            <w:proofErr w:type="gramEnd"/>
            <w:r w:rsidRPr="00350FE5">
              <w:rPr>
                <w:rFonts w:eastAsia="Times New Roman"/>
                <w:bCs/>
                <w:color w:val="FFFFFF" w:themeColor="background1"/>
              </w:rPr>
              <w:t>43)</w:t>
            </w:r>
          </w:p>
        </w:tc>
        <w:tc>
          <w:tcPr>
            <w:tcW w:w="1120" w:type="dxa"/>
            <w:tcBorders>
              <w:top w:val="single" w:sz="4" w:space="0" w:color="9BC2E6"/>
              <w:left w:val="nil"/>
              <w:bottom w:val="single" w:sz="4" w:space="0" w:color="9BC2E6"/>
              <w:right w:val="single" w:sz="4" w:space="0" w:color="9BC2E6"/>
            </w:tcBorders>
            <w:shd w:val="clear" w:color="5B9BD5" w:fill="5B9BD5"/>
            <w:noWrap/>
            <w:vAlign w:val="bottom"/>
            <w:hideMark/>
          </w:tcPr>
          <w:p w:rsidR="006F7FDE" w:rsidRPr="00350FE5" w:rsidRDefault="006F7FDE" w:rsidP="009B4300">
            <w:pPr>
              <w:spacing w:after="0" w:line="276" w:lineRule="auto"/>
              <w:jc w:val="both"/>
              <w:rPr>
                <w:rFonts w:eastAsia="Times New Roman"/>
                <w:bCs/>
                <w:color w:val="FFFFFF" w:themeColor="background1"/>
              </w:rPr>
            </w:pPr>
            <w:proofErr w:type="gramStart"/>
            <w:r w:rsidRPr="00350FE5">
              <w:rPr>
                <w:rFonts w:eastAsia="Times New Roman"/>
                <w:bCs/>
                <w:color w:val="FFFFFF" w:themeColor="background1"/>
              </w:rPr>
              <w:t>FCBs(</w:t>
            </w:r>
            <w:proofErr w:type="gramEnd"/>
            <w:r w:rsidRPr="00350FE5">
              <w:rPr>
                <w:rFonts w:eastAsia="Times New Roman"/>
                <w:bCs/>
                <w:color w:val="FFFFFF" w:themeColor="background1"/>
              </w:rPr>
              <w:t>09)</w:t>
            </w:r>
          </w:p>
        </w:tc>
      </w:tr>
      <w:tr w:rsidR="006F7FDE" w:rsidRPr="00350FE5" w:rsidTr="0064112C">
        <w:trPr>
          <w:trHeight w:val="300"/>
        </w:trPr>
        <w:tc>
          <w:tcPr>
            <w:tcW w:w="3880" w:type="dxa"/>
            <w:tcBorders>
              <w:top w:val="single" w:sz="4" w:space="0" w:color="9BC2E6"/>
              <w:left w:val="single" w:sz="4" w:space="0" w:color="9BC2E6"/>
              <w:bottom w:val="single" w:sz="4" w:space="0" w:color="9BC2E6"/>
              <w:right w:val="nil"/>
            </w:tcBorders>
            <w:shd w:val="clear" w:color="DDEBF7" w:fill="DDEBF7"/>
            <w:noWrap/>
            <w:vAlign w:val="bottom"/>
            <w:hideMark/>
          </w:tcPr>
          <w:p w:rsidR="006F7FDE" w:rsidRPr="00350FE5" w:rsidRDefault="006F7FDE" w:rsidP="009B4300">
            <w:pPr>
              <w:spacing w:after="0" w:line="276" w:lineRule="auto"/>
              <w:jc w:val="both"/>
              <w:rPr>
                <w:rFonts w:eastAsia="Times New Roman"/>
              </w:rPr>
            </w:pPr>
            <w:r w:rsidRPr="00350FE5">
              <w:rPr>
                <w:rFonts w:eastAsia="Times New Roman"/>
              </w:rPr>
              <w:t>1. Renewable Energy</w:t>
            </w:r>
            <w:r w:rsidR="00640760" w:rsidRPr="00350FE5">
              <w:rPr>
                <w:rFonts w:eastAsia="Times New Roman"/>
              </w:rPr>
              <w:t xml:space="preserve"> (RE)</w:t>
            </w:r>
          </w:p>
        </w:tc>
        <w:tc>
          <w:tcPr>
            <w:tcW w:w="1280" w:type="dxa"/>
            <w:tcBorders>
              <w:top w:val="single" w:sz="4" w:space="0" w:color="9BC2E6"/>
              <w:left w:val="nil"/>
              <w:bottom w:val="single" w:sz="4" w:space="0" w:color="9BC2E6"/>
              <w:right w:val="nil"/>
            </w:tcBorders>
            <w:shd w:val="clear" w:color="DDEBF7" w:fill="DDEBF7"/>
            <w:noWrap/>
            <w:hideMark/>
          </w:tcPr>
          <w:p w:rsidR="006F7FDE" w:rsidRPr="00350FE5" w:rsidRDefault="006F7FDE" w:rsidP="009B4300">
            <w:pPr>
              <w:spacing w:after="0" w:line="276" w:lineRule="auto"/>
              <w:jc w:val="both"/>
              <w:rPr>
                <w:rFonts w:eastAsia="Times New Roman"/>
              </w:rPr>
            </w:pPr>
            <w:r w:rsidRPr="00350FE5">
              <w:rPr>
                <w:rFonts w:eastAsia="Times New Roman"/>
              </w:rPr>
              <w:t>2.9</w:t>
            </w:r>
          </w:p>
        </w:tc>
        <w:tc>
          <w:tcPr>
            <w:tcW w:w="1140" w:type="dxa"/>
            <w:tcBorders>
              <w:top w:val="single" w:sz="4" w:space="0" w:color="9BC2E6"/>
              <w:left w:val="nil"/>
              <w:bottom w:val="single" w:sz="4" w:space="0" w:color="9BC2E6"/>
              <w:right w:val="nil"/>
            </w:tcBorders>
            <w:shd w:val="clear" w:color="DDEBF7" w:fill="DDEBF7"/>
            <w:noWrap/>
            <w:hideMark/>
          </w:tcPr>
          <w:p w:rsidR="006F7FDE" w:rsidRPr="00350FE5" w:rsidRDefault="006F7FDE" w:rsidP="009B4300">
            <w:pPr>
              <w:spacing w:after="0" w:line="276" w:lineRule="auto"/>
              <w:jc w:val="both"/>
              <w:rPr>
                <w:rFonts w:eastAsia="Times New Roman"/>
              </w:rPr>
            </w:pPr>
            <w:r w:rsidRPr="00350FE5">
              <w:rPr>
                <w:rFonts w:eastAsia="Times New Roman"/>
              </w:rPr>
              <w:t>9.04</w:t>
            </w:r>
          </w:p>
        </w:tc>
        <w:tc>
          <w:tcPr>
            <w:tcW w:w="1140" w:type="dxa"/>
            <w:tcBorders>
              <w:top w:val="single" w:sz="4" w:space="0" w:color="9BC2E6"/>
              <w:left w:val="nil"/>
              <w:bottom w:val="single" w:sz="4" w:space="0" w:color="9BC2E6"/>
              <w:right w:val="nil"/>
            </w:tcBorders>
            <w:shd w:val="clear" w:color="DDEBF7" w:fill="DDEBF7"/>
            <w:noWrap/>
            <w:hideMark/>
          </w:tcPr>
          <w:p w:rsidR="006F7FDE" w:rsidRPr="00350FE5" w:rsidRDefault="006F7FDE" w:rsidP="009B4300">
            <w:pPr>
              <w:spacing w:after="0" w:line="276" w:lineRule="auto"/>
              <w:jc w:val="both"/>
              <w:rPr>
                <w:rFonts w:eastAsia="Times New Roman"/>
              </w:rPr>
            </w:pPr>
            <w:r w:rsidRPr="00350FE5">
              <w:rPr>
                <w:rFonts w:eastAsia="Times New Roman"/>
              </w:rPr>
              <w:t>473.84</w:t>
            </w:r>
          </w:p>
        </w:tc>
        <w:tc>
          <w:tcPr>
            <w:tcW w:w="1120" w:type="dxa"/>
            <w:tcBorders>
              <w:top w:val="single" w:sz="4" w:space="0" w:color="9BC2E6"/>
              <w:left w:val="nil"/>
              <w:bottom w:val="single" w:sz="4" w:space="0" w:color="9BC2E6"/>
              <w:right w:val="single" w:sz="4" w:space="0" w:color="9BC2E6"/>
            </w:tcBorders>
            <w:shd w:val="clear" w:color="DDEBF7" w:fill="DDEBF7"/>
            <w:noWrap/>
            <w:hideMark/>
          </w:tcPr>
          <w:p w:rsidR="006F7FDE" w:rsidRPr="00350FE5" w:rsidRDefault="006F7FDE" w:rsidP="009B4300">
            <w:pPr>
              <w:spacing w:after="0" w:line="276" w:lineRule="auto"/>
              <w:jc w:val="both"/>
              <w:rPr>
                <w:rFonts w:eastAsia="Times New Roman"/>
              </w:rPr>
            </w:pPr>
            <w:r w:rsidRPr="00350FE5">
              <w:rPr>
                <w:rFonts w:eastAsia="Times New Roman"/>
              </w:rPr>
              <w:t>0</w:t>
            </w:r>
          </w:p>
        </w:tc>
      </w:tr>
      <w:tr w:rsidR="006F7FDE" w:rsidRPr="00350FE5" w:rsidTr="0064112C">
        <w:trPr>
          <w:trHeight w:val="300"/>
        </w:trPr>
        <w:tc>
          <w:tcPr>
            <w:tcW w:w="3880" w:type="dxa"/>
            <w:tcBorders>
              <w:top w:val="single" w:sz="4" w:space="0" w:color="9BC2E6"/>
              <w:left w:val="single" w:sz="4" w:space="0" w:color="9BC2E6"/>
              <w:bottom w:val="single" w:sz="4" w:space="0" w:color="9BC2E6"/>
              <w:right w:val="nil"/>
            </w:tcBorders>
            <w:shd w:val="clear" w:color="auto" w:fill="auto"/>
            <w:noWrap/>
            <w:vAlign w:val="bottom"/>
            <w:hideMark/>
          </w:tcPr>
          <w:p w:rsidR="006F7FDE" w:rsidRPr="00350FE5" w:rsidRDefault="006F7FDE" w:rsidP="009B4300">
            <w:pPr>
              <w:spacing w:after="0" w:line="276" w:lineRule="auto"/>
              <w:jc w:val="both"/>
              <w:rPr>
                <w:rFonts w:eastAsia="Times New Roman"/>
              </w:rPr>
            </w:pPr>
            <w:r w:rsidRPr="00350FE5">
              <w:rPr>
                <w:rFonts w:eastAsia="Times New Roman"/>
              </w:rPr>
              <w:t>2. Energy Efficiency</w:t>
            </w:r>
            <w:r w:rsidR="00640760" w:rsidRPr="00350FE5">
              <w:rPr>
                <w:rFonts w:eastAsia="Times New Roman"/>
              </w:rPr>
              <w:t xml:space="preserve"> (EE)</w:t>
            </w:r>
          </w:p>
        </w:tc>
        <w:tc>
          <w:tcPr>
            <w:tcW w:w="1280" w:type="dxa"/>
            <w:tcBorders>
              <w:top w:val="single" w:sz="4" w:space="0" w:color="9BC2E6"/>
              <w:left w:val="nil"/>
              <w:bottom w:val="single" w:sz="4" w:space="0" w:color="9BC2E6"/>
              <w:right w:val="nil"/>
            </w:tcBorders>
            <w:shd w:val="clear" w:color="auto" w:fill="auto"/>
            <w:noWrap/>
            <w:hideMark/>
          </w:tcPr>
          <w:p w:rsidR="006F7FDE" w:rsidRPr="00350FE5" w:rsidRDefault="006F7FDE" w:rsidP="009B4300">
            <w:pPr>
              <w:spacing w:after="0" w:line="276" w:lineRule="auto"/>
              <w:jc w:val="both"/>
              <w:rPr>
                <w:rFonts w:eastAsia="Times New Roman"/>
              </w:rPr>
            </w:pPr>
            <w:r w:rsidRPr="00350FE5">
              <w:rPr>
                <w:rFonts w:eastAsia="Times New Roman"/>
              </w:rPr>
              <w:t>1,78</w:t>
            </w:r>
          </w:p>
        </w:tc>
        <w:tc>
          <w:tcPr>
            <w:tcW w:w="1140" w:type="dxa"/>
            <w:tcBorders>
              <w:top w:val="single" w:sz="4" w:space="0" w:color="9BC2E6"/>
              <w:left w:val="nil"/>
              <w:bottom w:val="single" w:sz="4" w:space="0" w:color="9BC2E6"/>
              <w:right w:val="nil"/>
            </w:tcBorders>
            <w:shd w:val="clear" w:color="auto" w:fill="auto"/>
            <w:noWrap/>
            <w:hideMark/>
          </w:tcPr>
          <w:p w:rsidR="006F7FDE" w:rsidRPr="00350FE5" w:rsidRDefault="006F7FDE" w:rsidP="009B4300">
            <w:pPr>
              <w:spacing w:after="0" w:line="276" w:lineRule="auto"/>
              <w:jc w:val="both"/>
              <w:rPr>
                <w:rFonts w:eastAsia="Times New Roman"/>
              </w:rPr>
            </w:pPr>
            <w:r w:rsidRPr="00350FE5">
              <w:rPr>
                <w:rFonts w:eastAsia="Times New Roman"/>
              </w:rPr>
              <w:t>0</w:t>
            </w:r>
          </w:p>
        </w:tc>
        <w:tc>
          <w:tcPr>
            <w:tcW w:w="1140" w:type="dxa"/>
            <w:tcBorders>
              <w:top w:val="single" w:sz="4" w:space="0" w:color="9BC2E6"/>
              <w:left w:val="nil"/>
              <w:bottom w:val="single" w:sz="4" w:space="0" w:color="9BC2E6"/>
              <w:right w:val="nil"/>
            </w:tcBorders>
            <w:shd w:val="clear" w:color="auto" w:fill="auto"/>
            <w:noWrap/>
            <w:hideMark/>
          </w:tcPr>
          <w:p w:rsidR="006F7FDE" w:rsidRPr="00350FE5" w:rsidRDefault="006F7FDE" w:rsidP="009B4300">
            <w:pPr>
              <w:spacing w:after="0" w:line="276" w:lineRule="auto"/>
              <w:jc w:val="both"/>
              <w:rPr>
                <w:rFonts w:eastAsia="Times New Roman"/>
              </w:rPr>
            </w:pPr>
            <w:r w:rsidRPr="00350FE5">
              <w:rPr>
                <w:rFonts w:eastAsia="Times New Roman"/>
              </w:rPr>
              <w:t>15379.29</w:t>
            </w:r>
          </w:p>
        </w:tc>
        <w:tc>
          <w:tcPr>
            <w:tcW w:w="1120" w:type="dxa"/>
            <w:tcBorders>
              <w:top w:val="single" w:sz="4" w:space="0" w:color="9BC2E6"/>
              <w:left w:val="nil"/>
              <w:bottom w:val="single" w:sz="4" w:space="0" w:color="9BC2E6"/>
              <w:right w:val="single" w:sz="4" w:space="0" w:color="9BC2E6"/>
            </w:tcBorders>
            <w:shd w:val="clear" w:color="auto" w:fill="auto"/>
            <w:noWrap/>
            <w:hideMark/>
          </w:tcPr>
          <w:p w:rsidR="006F7FDE" w:rsidRPr="00350FE5" w:rsidRDefault="006F7FDE" w:rsidP="009B4300">
            <w:pPr>
              <w:spacing w:after="0" w:line="276" w:lineRule="auto"/>
              <w:jc w:val="both"/>
              <w:rPr>
                <w:rFonts w:eastAsia="Times New Roman"/>
              </w:rPr>
            </w:pPr>
            <w:r w:rsidRPr="00350FE5">
              <w:rPr>
                <w:rFonts w:eastAsia="Times New Roman"/>
              </w:rPr>
              <w:t>751</w:t>
            </w:r>
          </w:p>
        </w:tc>
      </w:tr>
      <w:tr w:rsidR="006F7FDE" w:rsidRPr="00350FE5" w:rsidTr="0064112C">
        <w:trPr>
          <w:trHeight w:val="300"/>
        </w:trPr>
        <w:tc>
          <w:tcPr>
            <w:tcW w:w="3880" w:type="dxa"/>
            <w:tcBorders>
              <w:top w:val="single" w:sz="4" w:space="0" w:color="9BC2E6"/>
              <w:left w:val="single" w:sz="4" w:space="0" w:color="9BC2E6"/>
              <w:bottom w:val="single" w:sz="4" w:space="0" w:color="9BC2E6"/>
              <w:right w:val="nil"/>
            </w:tcBorders>
            <w:shd w:val="clear" w:color="DDEBF7" w:fill="DDEBF7"/>
            <w:noWrap/>
            <w:vAlign w:val="bottom"/>
            <w:hideMark/>
          </w:tcPr>
          <w:p w:rsidR="006F7FDE" w:rsidRPr="00350FE5" w:rsidRDefault="006F7FDE" w:rsidP="009B4300">
            <w:pPr>
              <w:spacing w:after="0" w:line="276" w:lineRule="auto"/>
              <w:jc w:val="both"/>
              <w:rPr>
                <w:rFonts w:eastAsia="Times New Roman"/>
              </w:rPr>
            </w:pPr>
            <w:r w:rsidRPr="00350FE5">
              <w:rPr>
                <w:rFonts w:eastAsia="Times New Roman"/>
              </w:rPr>
              <w:t>3. Alternative Energy</w:t>
            </w:r>
            <w:r w:rsidR="00640760" w:rsidRPr="00350FE5">
              <w:rPr>
                <w:rFonts w:eastAsia="Times New Roman"/>
              </w:rPr>
              <w:t xml:space="preserve"> (AE)</w:t>
            </w:r>
          </w:p>
        </w:tc>
        <w:tc>
          <w:tcPr>
            <w:tcW w:w="1280" w:type="dxa"/>
            <w:tcBorders>
              <w:top w:val="single" w:sz="4" w:space="0" w:color="9BC2E6"/>
              <w:left w:val="nil"/>
              <w:bottom w:val="single" w:sz="4" w:space="0" w:color="9BC2E6"/>
              <w:right w:val="nil"/>
            </w:tcBorders>
            <w:shd w:val="clear" w:color="DDEBF7" w:fill="DDEBF7"/>
            <w:noWrap/>
            <w:hideMark/>
          </w:tcPr>
          <w:p w:rsidR="006F7FDE" w:rsidRPr="00350FE5" w:rsidRDefault="006F7FDE" w:rsidP="009B4300">
            <w:pPr>
              <w:spacing w:after="0" w:line="276" w:lineRule="auto"/>
              <w:jc w:val="both"/>
              <w:rPr>
                <w:rFonts w:eastAsia="Times New Roman"/>
              </w:rPr>
            </w:pPr>
            <w:r w:rsidRPr="00350FE5">
              <w:rPr>
                <w:rFonts w:eastAsia="Times New Roman"/>
              </w:rPr>
              <w:t>0</w:t>
            </w:r>
          </w:p>
        </w:tc>
        <w:tc>
          <w:tcPr>
            <w:tcW w:w="1140" w:type="dxa"/>
            <w:tcBorders>
              <w:top w:val="single" w:sz="4" w:space="0" w:color="9BC2E6"/>
              <w:left w:val="nil"/>
              <w:bottom w:val="single" w:sz="4" w:space="0" w:color="9BC2E6"/>
              <w:right w:val="nil"/>
            </w:tcBorders>
            <w:shd w:val="clear" w:color="DDEBF7" w:fill="DDEBF7"/>
            <w:noWrap/>
            <w:hideMark/>
          </w:tcPr>
          <w:p w:rsidR="006F7FDE" w:rsidRPr="00350FE5" w:rsidRDefault="006F7FDE" w:rsidP="009B4300">
            <w:pPr>
              <w:spacing w:after="0" w:line="276" w:lineRule="auto"/>
              <w:jc w:val="both"/>
              <w:rPr>
                <w:rFonts w:eastAsia="Times New Roman"/>
              </w:rPr>
            </w:pPr>
            <w:r w:rsidRPr="00350FE5">
              <w:rPr>
                <w:rFonts w:eastAsia="Times New Roman"/>
              </w:rPr>
              <w:t>0</w:t>
            </w:r>
          </w:p>
        </w:tc>
        <w:tc>
          <w:tcPr>
            <w:tcW w:w="1140" w:type="dxa"/>
            <w:tcBorders>
              <w:top w:val="single" w:sz="4" w:space="0" w:color="9BC2E6"/>
              <w:left w:val="nil"/>
              <w:bottom w:val="single" w:sz="4" w:space="0" w:color="9BC2E6"/>
              <w:right w:val="nil"/>
            </w:tcBorders>
            <w:shd w:val="clear" w:color="DDEBF7" w:fill="DDEBF7"/>
            <w:noWrap/>
            <w:hideMark/>
          </w:tcPr>
          <w:p w:rsidR="006F7FDE" w:rsidRPr="00350FE5" w:rsidRDefault="006F7FDE" w:rsidP="009B4300">
            <w:pPr>
              <w:spacing w:after="0" w:line="276" w:lineRule="auto"/>
              <w:jc w:val="both"/>
              <w:rPr>
                <w:rFonts w:eastAsia="Times New Roman"/>
              </w:rPr>
            </w:pPr>
            <w:r w:rsidRPr="00350FE5">
              <w:rPr>
                <w:rFonts w:eastAsia="Times New Roman"/>
              </w:rPr>
              <w:t>2</w:t>
            </w:r>
          </w:p>
        </w:tc>
        <w:tc>
          <w:tcPr>
            <w:tcW w:w="1120" w:type="dxa"/>
            <w:tcBorders>
              <w:top w:val="single" w:sz="4" w:space="0" w:color="9BC2E6"/>
              <w:left w:val="nil"/>
              <w:bottom w:val="single" w:sz="4" w:space="0" w:color="9BC2E6"/>
              <w:right w:val="single" w:sz="4" w:space="0" w:color="9BC2E6"/>
            </w:tcBorders>
            <w:shd w:val="clear" w:color="DDEBF7" w:fill="DDEBF7"/>
            <w:noWrap/>
            <w:hideMark/>
          </w:tcPr>
          <w:p w:rsidR="006F7FDE" w:rsidRPr="00350FE5" w:rsidRDefault="006F7FDE" w:rsidP="009B4300">
            <w:pPr>
              <w:spacing w:after="0" w:line="276" w:lineRule="auto"/>
              <w:jc w:val="both"/>
              <w:rPr>
                <w:rFonts w:eastAsia="Times New Roman"/>
              </w:rPr>
            </w:pPr>
            <w:r w:rsidRPr="00350FE5">
              <w:rPr>
                <w:rFonts w:eastAsia="Times New Roman"/>
              </w:rPr>
              <w:t>0</w:t>
            </w:r>
          </w:p>
        </w:tc>
      </w:tr>
      <w:tr w:rsidR="006F7FDE" w:rsidRPr="00350FE5" w:rsidTr="0064112C">
        <w:trPr>
          <w:trHeight w:val="300"/>
        </w:trPr>
        <w:tc>
          <w:tcPr>
            <w:tcW w:w="3880" w:type="dxa"/>
            <w:tcBorders>
              <w:top w:val="single" w:sz="4" w:space="0" w:color="9BC2E6"/>
              <w:left w:val="single" w:sz="4" w:space="0" w:color="9BC2E6"/>
              <w:bottom w:val="single" w:sz="4" w:space="0" w:color="9BC2E6"/>
              <w:right w:val="nil"/>
            </w:tcBorders>
            <w:shd w:val="clear" w:color="auto" w:fill="auto"/>
            <w:noWrap/>
            <w:vAlign w:val="bottom"/>
            <w:hideMark/>
          </w:tcPr>
          <w:p w:rsidR="006F7FDE" w:rsidRPr="00350FE5" w:rsidRDefault="006F7FDE" w:rsidP="009B4300">
            <w:pPr>
              <w:spacing w:after="0" w:line="276" w:lineRule="auto"/>
              <w:jc w:val="both"/>
              <w:rPr>
                <w:rFonts w:eastAsia="Times New Roman"/>
              </w:rPr>
            </w:pPr>
            <w:r w:rsidRPr="00350FE5">
              <w:rPr>
                <w:rFonts w:eastAsia="Times New Roman"/>
              </w:rPr>
              <w:t>4. Liquid Waste Management</w:t>
            </w:r>
            <w:r w:rsidR="00640760" w:rsidRPr="00350FE5">
              <w:rPr>
                <w:rFonts w:eastAsia="Times New Roman"/>
              </w:rPr>
              <w:t xml:space="preserve"> (LWM)</w:t>
            </w:r>
          </w:p>
        </w:tc>
        <w:tc>
          <w:tcPr>
            <w:tcW w:w="1280" w:type="dxa"/>
            <w:tcBorders>
              <w:top w:val="single" w:sz="4" w:space="0" w:color="9BC2E6"/>
              <w:left w:val="nil"/>
              <w:bottom w:val="single" w:sz="4" w:space="0" w:color="9BC2E6"/>
              <w:right w:val="nil"/>
            </w:tcBorders>
            <w:shd w:val="clear" w:color="auto" w:fill="auto"/>
            <w:noWrap/>
            <w:hideMark/>
          </w:tcPr>
          <w:p w:rsidR="006F7FDE" w:rsidRPr="00350FE5" w:rsidRDefault="006F7FDE" w:rsidP="009B4300">
            <w:pPr>
              <w:spacing w:after="0" w:line="276" w:lineRule="auto"/>
              <w:jc w:val="both"/>
              <w:rPr>
                <w:rFonts w:eastAsia="Times New Roman"/>
              </w:rPr>
            </w:pPr>
            <w:r w:rsidRPr="00350FE5">
              <w:rPr>
                <w:rFonts w:eastAsia="Times New Roman"/>
              </w:rPr>
              <w:t>0</w:t>
            </w:r>
          </w:p>
        </w:tc>
        <w:tc>
          <w:tcPr>
            <w:tcW w:w="1140" w:type="dxa"/>
            <w:tcBorders>
              <w:top w:val="single" w:sz="4" w:space="0" w:color="9BC2E6"/>
              <w:left w:val="nil"/>
              <w:bottom w:val="single" w:sz="4" w:space="0" w:color="9BC2E6"/>
              <w:right w:val="nil"/>
            </w:tcBorders>
            <w:shd w:val="clear" w:color="auto" w:fill="auto"/>
            <w:noWrap/>
            <w:hideMark/>
          </w:tcPr>
          <w:p w:rsidR="006F7FDE" w:rsidRPr="00350FE5" w:rsidRDefault="006F7FDE" w:rsidP="009B4300">
            <w:pPr>
              <w:spacing w:after="0" w:line="276" w:lineRule="auto"/>
              <w:jc w:val="both"/>
              <w:rPr>
                <w:rFonts w:eastAsia="Times New Roman"/>
              </w:rPr>
            </w:pPr>
            <w:r w:rsidRPr="00350FE5">
              <w:rPr>
                <w:rFonts w:eastAsia="Times New Roman"/>
              </w:rPr>
              <w:t>0</w:t>
            </w:r>
          </w:p>
        </w:tc>
        <w:tc>
          <w:tcPr>
            <w:tcW w:w="1140" w:type="dxa"/>
            <w:tcBorders>
              <w:top w:val="single" w:sz="4" w:space="0" w:color="9BC2E6"/>
              <w:left w:val="nil"/>
              <w:bottom w:val="single" w:sz="4" w:space="0" w:color="9BC2E6"/>
              <w:right w:val="nil"/>
            </w:tcBorders>
            <w:shd w:val="clear" w:color="auto" w:fill="auto"/>
            <w:noWrap/>
            <w:hideMark/>
          </w:tcPr>
          <w:p w:rsidR="006F7FDE" w:rsidRPr="00350FE5" w:rsidRDefault="006F7FDE" w:rsidP="009B4300">
            <w:pPr>
              <w:spacing w:after="0" w:line="276" w:lineRule="auto"/>
              <w:jc w:val="both"/>
              <w:rPr>
                <w:rFonts w:eastAsia="Times New Roman"/>
              </w:rPr>
            </w:pPr>
            <w:r w:rsidRPr="00350FE5">
              <w:rPr>
                <w:rFonts w:eastAsia="Times New Roman"/>
              </w:rPr>
              <w:t>727.7</w:t>
            </w:r>
          </w:p>
        </w:tc>
        <w:tc>
          <w:tcPr>
            <w:tcW w:w="1120" w:type="dxa"/>
            <w:tcBorders>
              <w:top w:val="single" w:sz="4" w:space="0" w:color="9BC2E6"/>
              <w:left w:val="nil"/>
              <w:bottom w:val="single" w:sz="4" w:space="0" w:color="9BC2E6"/>
              <w:right w:val="single" w:sz="4" w:space="0" w:color="9BC2E6"/>
            </w:tcBorders>
            <w:shd w:val="clear" w:color="auto" w:fill="auto"/>
            <w:noWrap/>
            <w:hideMark/>
          </w:tcPr>
          <w:p w:rsidR="006F7FDE" w:rsidRPr="00350FE5" w:rsidRDefault="006F7FDE" w:rsidP="009B4300">
            <w:pPr>
              <w:spacing w:after="0" w:line="276" w:lineRule="auto"/>
              <w:jc w:val="both"/>
              <w:rPr>
                <w:rFonts w:eastAsia="Times New Roman"/>
              </w:rPr>
            </w:pPr>
            <w:r w:rsidRPr="00350FE5">
              <w:rPr>
                <w:rFonts w:eastAsia="Times New Roman"/>
              </w:rPr>
              <w:t>0</w:t>
            </w:r>
          </w:p>
        </w:tc>
      </w:tr>
      <w:tr w:rsidR="006F7FDE" w:rsidRPr="00350FE5" w:rsidTr="0064112C">
        <w:trPr>
          <w:trHeight w:val="300"/>
        </w:trPr>
        <w:tc>
          <w:tcPr>
            <w:tcW w:w="3880" w:type="dxa"/>
            <w:tcBorders>
              <w:top w:val="single" w:sz="4" w:space="0" w:color="9BC2E6"/>
              <w:left w:val="single" w:sz="4" w:space="0" w:color="9BC2E6"/>
              <w:bottom w:val="single" w:sz="4" w:space="0" w:color="9BC2E6"/>
              <w:right w:val="nil"/>
            </w:tcBorders>
            <w:shd w:val="clear" w:color="DDEBF7" w:fill="DDEBF7"/>
            <w:noWrap/>
            <w:vAlign w:val="bottom"/>
            <w:hideMark/>
          </w:tcPr>
          <w:p w:rsidR="006F7FDE" w:rsidRPr="00350FE5" w:rsidRDefault="006F7FDE" w:rsidP="009B4300">
            <w:pPr>
              <w:spacing w:after="0" w:line="276" w:lineRule="auto"/>
              <w:jc w:val="both"/>
              <w:rPr>
                <w:rFonts w:eastAsia="Times New Roman"/>
              </w:rPr>
            </w:pPr>
            <w:r w:rsidRPr="00350FE5">
              <w:rPr>
                <w:rFonts w:eastAsia="Times New Roman"/>
              </w:rPr>
              <w:t>5. Solid Waste Management</w:t>
            </w:r>
            <w:r w:rsidR="00640760" w:rsidRPr="00350FE5">
              <w:rPr>
                <w:rFonts w:eastAsia="Times New Roman"/>
              </w:rPr>
              <w:t xml:space="preserve"> (SWM)</w:t>
            </w:r>
          </w:p>
        </w:tc>
        <w:tc>
          <w:tcPr>
            <w:tcW w:w="1280" w:type="dxa"/>
            <w:tcBorders>
              <w:top w:val="single" w:sz="4" w:space="0" w:color="9BC2E6"/>
              <w:left w:val="nil"/>
              <w:bottom w:val="single" w:sz="4" w:space="0" w:color="9BC2E6"/>
              <w:right w:val="nil"/>
            </w:tcBorders>
            <w:shd w:val="clear" w:color="DDEBF7" w:fill="DDEBF7"/>
            <w:noWrap/>
            <w:hideMark/>
          </w:tcPr>
          <w:p w:rsidR="006F7FDE" w:rsidRPr="00350FE5" w:rsidRDefault="006F7FDE" w:rsidP="009B4300">
            <w:pPr>
              <w:spacing w:after="0" w:line="276" w:lineRule="auto"/>
              <w:jc w:val="both"/>
              <w:rPr>
                <w:rFonts w:eastAsia="Times New Roman"/>
              </w:rPr>
            </w:pPr>
            <w:r w:rsidRPr="00350FE5">
              <w:rPr>
                <w:rFonts w:eastAsia="Times New Roman"/>
              </w:rPr>
              <w:t>0</w:t>
            </w:r>
          </w:p>
        </w:tc>
        <w:tc>
          <w:tcPr>
            <w:tcW w:w="1140" w:type="dxa"/>
            <w:tcBorders>
              <w:top w:val="single" w:sz="4" w:space="0" w:color="9BC2E6"/>
              <w:left w:val="nil"/>
              <w:bottom w:val="single" w:sz="4" w:space="0" w:color="9BC2E6"/>
              <w:right w:val="nil"/>
            </w:tcBorders>
            <w:shd w:val="clear" w:color="DDEBF7" w:fill="DDEBF7"/>
            <w:noWrap/>
            <w:hideMark/>
          </w:tcPr>
          <w:p w:rsidR="006F7FDE" w:rsidRPr="00350FE5" w:rsidRDefault="006F7FDE" w:rsidP="009B4300">
            <w:pPr>
              <w:spacing w:after="0" w:line="276" w:lineRule="auto"/>
              <w:jc w:val="both"/>
              <w:rPr>
                <w:rFonts w:eastAsia="Times New Roman"/>
              </w:rPr>
            </w:pPr>
            <w:r w:rsidRPr="00350FE5">
              <w:rPr>
                <w:rFonts w:eastAsia="Times New Roman"/>
              </w:rPr>
              <w:t>0</w:t>
            </w:r>
          </w:p>
        </w:tc>
        <w:tc>
          <w:tcPr>
            <w:tcW w:w="1140" w:type="dxa"/>
            <w:tcBorders>
              <w:top w:val="single" w:sz="4" w:space="0" w:color="9BC2E6"/>
              <w:left w:val="nil"/>
              <w:bottom w:val="single" w:sz="4" w:space="0" w:color="9BC2E6"/>
              <w:right w:val="nil"/>
            </w:tcBorders>
            <w:shd w:val="clear" w:color="DDEBF7" w:fill="DDEBF7"/>
            <w:noWrap/>
            <w:hideMark/>
          </w:tcPr>
          <w:p w:rsidR="006F7FDE" w:rsidRPr="00350FE5" w:rsidRDefault="006F7FDE" w:rsidP="009B4300">
            <w:pPr>
              <w:spacing w:after="0" w:line="276" w:lineRule="auto"/>
              <w:jc w:val="both"/>
              <w:rPr>
                <w:rFonts w:eastAsia="Times New Roman"/>
              </w:rPr>
            </w:pPr>
            <w:r w:rsidRPr="00350FE5">
              <w:rPr>
                <w:rFonts w:eastAsia="Times New Roman"/>
              </w:rPr>
              <w:t>0</w:t>
            </w:r>
          </w:p>
        </w:tc>
        <w:tc>
          <w:tcPr>
            <w:tcW w:w="1120" w:type="dxa"/>
            <w:tcBorders>
              <w:top w:val="single" w:sz="4" w:space="0" w:color="9BC2E6"/>
              <w:left w:val="nil"/>
              <w:bottom w:val="single" w:sz="4" w:space="0" w:color="9BC2E6"/>
              <w:right w:val="single" w:sz="4" w:space="0" w:color="9BC2E6"/>
            </w:tcBorders>
            <w:shd w:val="clear" w:color="DDEBF7" w:fill="DDEBF7"/>
            <w:noWrap/>
            <w:hideMark/>
          </w:tcPr>
          <w:p w:rsidR="006F7FDE" w:rsidRPr="00350FE5" w:rsidRDefault="006F7FDE" w:rsidP="009B4300">
            <w:pPr>
              <w:spacing w:after="0" w:line="276" w:lineRule="auto"/>
              <w:jc w:val="both"/>
              <w:rPr>
                <w:rFonts w:eastAsia="Times New Roman"/>
              </w:rPr>
            </w:pPr>
            <w:r w:rsidRPr="00350FE5">
              <w:rPr>
                <w:rFonts w:eastAsia="Times New Roman"/>
              </w:rPr>
              <w:t>0</w:t>
            </w:r>
          </w:p>
        </w:tc>
      </w:tr>
      <w:tr w:rsidR="006F7FDE" w:rsidRPr="00350FE5" w:rsidTr="0064112C">
        <w:trPr>
          <w:trHeight w:val="300"/>
        </w:trPr>
        <w:tc>
          <w:tcPr>
            <w:tcW w:w="3880" w:type="dxa"/>
            <w:tcBorders>
              <w:top w:val="single" w:sz="4" w:space="0" w:color="9BC2E6"/>
              <w:left w:val="single" w:sz="4" w:space="0" w:color="9BC2E6"/>
              <w:bottom w:val="single" w:sz="4" w:space="0" w:color="9BC2E6"/>
              <w:right w:val="nil"/>
            </w:tcBorders>
            <w:shd w:val="clear" w:color="auto" w:fill="auto"/>
            <w:noWrap/>
            <w:vAlign w:val="bottom"/>
            <w:hideMark/>
          </w:tcPr>
          <w:p w:rsidR="006F7FDE" w:rsidRPr="00350FE5" w:rsidRDefault="006F7FDE" w:rsidP="009B4300">
            <w:pPr>
              <w:spacing w:after="0" w:line="276" w:lineRule="auto"/>
              <w:jc w:val="both"/>
              <w:rPr>
                <w:rFonts w:eastAsia="Times New Roman"/>
              </w:rPr>
            </w:pPr>
            <w:r w:rsidRPr="00350FE5">
              <w:rPr>
                <w:rFonts w:eastAsia="Times New Roman"/>
              </w:rPr>
              <w:t>6. Recycling &amp; Manufacturing of Recycling Goods</w:t>
            </w:r>
            <w:r w:rsidR="00640760" w:rsidRPr="00350FE5">
              <w:rPr>
                <w:rFonts w:eastAsia="Times New Roman"/>
              </w:rPr>
              <w:t xml:space="preserve"> RMRG)</w:t>
            </w:r>
          </w:p>
        </w:tc>
        <w:tc>
          <w:tcPr>
            <w:tcW w:w="1280" w:type="dxa"/>
            <w:tcBorders>
              <w:top w:val="single" w:sz="4" w:space="0" w:color="9BC2E6"/>
              <w:left w:val="nil"/>
              <w:bottom w:val="single" w:sz="4" w:space="0" w:color="9BC2E6"/>
              <w:right w:val="nil"/>
            </w:tcBorders>
            <w:shd w:val="clear" w:color="auto" w:fill="auto"/>
            <w:noWrap/>
            <w:hideMark/>
          </w:tcPr>
          <w:p w:rsidR="006F7FDE" w:rsidRPr="00350FE5" w:rsidRDefault="006F7FDE" w:rsidP="009B4300">
            <w:pPr>
              <w:spacing w:after="0" w:line="276" w:lineRule="auto"/>
              <w:jc w:val="both"/>
              <w:rPr>
                <w:rFonts w:eastAsia="Times New Roman"/>
              </w:rPr>
            </w:pPr>
            <w:r w:rsidRPr="00350FE5">
              <w:rPr>
                <w:rFonts w:eastAsia="Times New Roman"/>
              </w:rPr>
              <w:t>10.23</w:t>
            </w:r>
          </w:p>
        </w:tc>
        <w:tc>
          <w:tcPr>
            <w:tcW w:w="1140" w:type="dxa"/>
            <w:tcBorders>
              <w:top w:val="single" w:sz="4" w:space="0" w:color="9BC2E6"/>
              <w:left w:val="nil"/>
              <w:bottom w:val="single" w:sz="4" w:space="0" w:color="9BC2E6"/>
              <w:right w:val="nil"/>
            </w:tcBorders>
            <w:shd w:val="clear" w:color="auto" w:fill="auto"/>
            <w:noWrap/>
            <w:hideMark/>
          </w:tcPr>
          <w:p w:rsidR="006F7FDE" w:rsidRPr="00350FE5" w:rsidRDefault="006F7FDE" w:rsidP="009B4300">
            <w:pPr>
              <w:spacing w:after="0" w:line="276" w:lineRule="auto"/>
              <w:jc w:val="both"/>
              <w:rPr>
                <w:rFonts w:eastAsia="Times New Roman"/>
              </w:rPr>
            </w:pPr>
            <w:r w:rsidRPr="00350FE5">
              <w:rPr>
                <w:rFonts w:eastAsia="Times New Roman"/>
              </w:rPr>
              <w:t>0</w:t>
            </w:r>
          </w:p>
        </w:tc>
        <w:tc>
          <w:tcPr>
            <w:tcW w:w="1140" w:type="dxa"/>
            <w:tcBorders>
              <w:top w:val="single" w:sz="4" w:space="0" w:color="9BC2E6"/>
              <w:left w:val="nil"/>
              <w:bottom w:val="single" w:sz="4" w:space="0" w:color="9BC2E6"/>
              <w:right w:val="nil"/>
            </w:tcBorders>
            <w:shd w:val="clear" w:color="auto" w:fill="auto"/>
            <w:noWrap/>
            <w:hideMark/>
          </w:tcPr>
          <w:p w:rsidR="006F7FDE" w:rsidRPr="00350FE5" w:rsidRDefault="006F7FDE" w:rsidP="009B4300">
            <w:pPr>
              <w:spacing w:after="0" w:line="276" w:lineRule="auto"/>
              <w:jc w:val="both"/>
              <w:rPr>
                <w:rFonts w:eastAsia="Times New Roman"/>
              </w:rPr>
            </w:pPr>
            <w:r w:rsidRPr="00350FE5">
              <w:rPr>
                <w:rFonts w:eastAsia="Times New Roman"/>
              </w:rPr>
              <w:t>3441.18</w:t>
            </w:r>
          </w:p>
        </w:tc>
        <w:tc>
          <w:tcPr>
            <w:tcW w:w="1120" w:type="dxa"/>
            <w:tcBorders>
              <w:top w:val="single" w:sz="4" w:space="0" w:color="9BC2E6"/>
              <w:left w:val="nil"/>
              <w:bottom w:val="single" w:sz="4" w:space="0" w:color="9BC2E6"/>
              <w:right w:val="single" w:sz="4" w:space="0" w:color="9BC2E6"/>
            </w:tcBorders>
            <w:shd w:val="clear" w:color="auto" w:fill="auto"/>
            <w:noWrap/>
            <w:hideMark/>
          </w:tcPr>
          <w:p w:rsidR="006F7FDE" w:rsidRPr="00350FE5" w:rsidRDefault="006F7FDE" w:rsidP="009B4300">
            <w:pPr>
              <w:spacing w:after="0" w:line="276" w:lineRule="auto"/>
              <w:jc w:val="both"/>
              <w:rPr>
                <w:rFonts w:eastAsia="Times New Roman"/>
              </w:rPr>
            </w:pPr>
            <w:r w:rsidRPr="00350FE5">
              <w:rPr>
                <w:rFonts w:eastAsia="Times New Roman"/>
              </w:rPr>
              <w:t>3.42</w:t>
            </w:r>
          </w:p>
        </w:tc>
      </w:tr>
      <w:tr w:rsidR="006F7FDE" w:rsidRPr="00350FE5" w:rsidTr="0064112C">
        <w:trPr>
          <w:trHeight w:val="300"/>
        </w:trPr>
        <w:tc>
          <w:tcPr>
            <w:tcW w:w="3880" w:type="dxa"/>
            <w:tcBorders>
              <w:top w:val="single" w:sz="4" w:space="0" w:color="9BC2E6"/>
              <w:left w:val="single" w:sz="4" w:space="0" w:color="9BC2E6"/>
              <w:bottom w:val="single" w:sz="4" w:space="0" w:color="9BC2E6"/>
              <w:right w:val="nil"/>
            </w:tcBorders>
            <w:shd w:val="clear" w:color="DDEBF7" w:fill="DDEBF7"/>
            <w:noWrap/>
            <w:vAlign w:val="bottom"/>
            <w:hideMark/>
          </w:tcPr>
          <w:p w:rsidR="006F7FDE" w:rsidRPr="00350FE5" w:rsidRDefault="00640760" w:rsidP="009B4300">
            <w:pPr>
              <w:spacing w:after="0" w:line="276" w:lineRule="auto"/>
              <w:jc w:val="both"/>
              <w:rPr>
                <w:rFonts w:eastAsia="Times New Roman"/>
              </w:rPr>
            </w:pPr>
            <w:r w:rsidRPr="00350FE5">
              <w:rPr>
                <w:rFonts w:eastAsia="Times New Roman"/>
              </w:rPr>
              <w:t>7.</w:t>
            </w:r>
            <w:r w:rsidR="006F7FDE" w:rsidRPr="00350FE5">
              <w:rPr>
                <w:rFonts w:eastAsia="Times New Roman"/>
              </w:rPr>
              <w:t>Environment-friendly Brick Production</w:t>
            </w:r>
            <w:r w:rsidRPr="00350FE5">
              <w:rPr>
                <w:rFonts w:eastAsia="Times New Roman"/>
              </w:rPr>
              <w:t xml:space="preserve"> (EFP)</w:t>
            </w:r>
          </w:p>
        </w:tc>
        <w:tc>
          <w:tcPr>
            <w:tcW w:w="1280" w:type="dxa"/>
            <w:tcBorders>
              <w:top w:val="single" w:sz="4" w:space="0" w:color="9BC2E6"/>
              <w:left w:val="nil"/>
              <w:bottom w:val="single" w:sz="4" w:space="0" w:color="9BC2E6"/>
              <w:right w:val="nil"/>
            </w:tcBorders>
            <w:shd w:val="clear" w:color="DDEBF7" w:fill="DDEBF7"/>
            <w:noWrap/>
            <w:hideMark/>
          </w:tcPr>
          <w:p w:rsidR="006F7FDE" w:rsidRPr="00350FE5" w:rsidRDefault="006F7FDE" w:rsidP="009B4300">
            <w:pPr>
              <w:spacing w:after="0" w:line="276" w:lineRule="auto"/>
              <w:jc w:val="both"/>
              <w:rPr>
                <w:rFonts w:eastAsia="Times New Roman"/>
              </w:rPr>
            </w:pPr>
            <w:r w:rsidRPr="00350FE5">
              <w:rPr>
                <w:rFonts w:eastAsia="Times New Roman"/>
              </w:rPr>
              <w:t>691.56</w:t>
            </w:r>
          </w:p>
        </w:tc>
        <w:tc>
          <w:tcPr>
            <w:tcW w:w="1140" w:type="dxa"/>
            <w:tcBorders>
              <w:top w:val="single" w:sz="4" w:space="0" w:color="9BC2E6"/>
              <w:left w:val="nil"/>
              <w:bottom w:val="single" w:sz="4" w:space="0" w:color="9BC2E6"/>
              <w:right w:val="nil"/>
            </w:tcBorders>
            <w:shd w:val="clear" w:color="DDEBF7" w:fill="DDEBF7"/>
            <w:noWrap/>
            <w:hideMark/>
          </w:tcPr>
          <w:p w:rsidR="006F7FDE" w:rsidRPr="00350FE5" w:rsidRDefault="006F7FDE" w:rsidP="009B4300">
            <w:pPr>
              <w:spacing w:after="0" w:line="276" w:lineRule="auto"/>
              <w:jc w:val="both"/>
              <w:rPr>
                <w:rFonts w:eastAsia="Times New Roman"/>
              </w:rPr>
            </w:pPr>
            <w:r w:rsidRPr="00350FE5">
              <w:rPr>
                <w:rFonts w:eastAsia="Times New Roman"/>
              </w:rPr>
              <w:t>0</w:t>
            </w:r>
          </w:p>
        </w:tc>
        <w:tc>
          <w:tcPr>
            <w:tcW w:w="1140" w:type="dxa"/>
            <w:tcBorders>
              <w:top w:val="single" w:sz="4" w:space="0" w:color="9BC2E6"/>
              <w:left w:val="nil"/>
              <w:bottom w:val="single" w:sz="4" w:space="0" w:color="9BC2E6"/>
              <w:right w:val="nil"/>
            </w:tcBorders>
            <w:shd w:val="clear" w:color="DDEBF7" w:fill="DDEBF7"/>
            <w:noWrap/>
            <w:hideMark/>
          </w:tcPr>
          <w:p w:rsidR="006F7FDE" w:rsidRPr="00350FE5" w:rsidRDefault="006F7FDE" w:rsidP="009B4300">
            <w:pPr>
              <w:spacing w:after="0" w:line="276" w:lineRule="auto"/>
              <w:jc w:val="both"/>
              <w:rPr>
                <w:rFonts w:eastAsia="Times New Roman"/>
              </w:rPr>
            </w:pPr>
            <w:r w:rsidRPr="00350FE5">
              <w:rPr>
                <w:rFonts w:eastAsia="Times New Roman"/>
              </w:rPr>
              <w:t>409.99</w:t>
            </w:r>
          </w:p>
        </w:tc>
        <w:tc>
          <w:tcPr>
            <w:tcW w:w="1120" w:type="dxa"/>
            <w:tcBorders>
              <w:top w:val="single" w:sz="4" w:space="0" w:color="9BC2E6"/>
              <w:left w:val="nil"/>
              <w:bottom w:val="single" w:sz="4" w:space="0" w:color="9BC2E6"/>
              <w:right w:val="single" w:sz="4" w:space="0" w:color="9BC2E6"/>
            </w:tcBorders>
            <w:shd w:val="clear" w:color="DDEBF7" w:fill="DDEBF7"/>
            <w:noWrap/>
            <w:hideMark/>
          </w:tcPr>
          <w:p w:rsidR="006F7FDE" w:rsidRPr="00350FE5" w:rsidRDefault="006F7FDE" w:rsidP="009B4300">
            <w:pPr>
              <w:spacing w:after="0" w:line="276" w:lineRule="auto"/>
              <w:jc w:val="both"/>
              <w:rPr>
                <w:rFonts w:eastAsia="Times New Roman"/>
              </w:rPr>
            </w:pPr>
            <w:r w:rsidRPr="00350FE5">
              <w:rPr>
                <w:rFonts w:eastAsia="Times New Roman"/>
              </w:rPr>
              <w:t>0</w:t>
            </w:r>
          </w:p>
        </w:tc>
      </w:tr>
      <w:tr w:rsidR="006F7FDE" w:rsidRPr="00350FE5" w:rsidTr="0064112C">
        <w:trPr>
          <w:trHeight w:val="300"/>
        </w:trPr>
        <w:tc>
          <w:tcPr>
            <w:tcW w:w="3880" w:type="dxa"/>
            <w:tcBorders>
              <w:top w:val="single" w:sz="4" w:space="0" w:color="9BC2E6"/>
              <w:left w:val="single" w:sz="4" w:space="0" w:color="9BC2E6"/>
              <w:bottom w:val="single" w:sz="4" w:space="0" w:color="9BC2E6"/>
              <w:right w:val="nil"/>
            </w:tcBorders>
            <w:shd w:val="clear" w:color="auto" w:fill="auto"/>
            <w:noWrap/>
            <w:vAlign w:val="bottom"/>
            <w:hideMark/>
          </w:tcPr>
          <w:p w:rsidR="006F7FDE" w:rsidRPr="00350FE5" w:rsidRDefault="006F7FDE" w:rsidP="009B4300">
            <w:pPr>
              <w:spacing w:after="0" w:line="276" w:lineRule="auto"/>
              <w:jc w:val="both"/>
              <w:rPr>
                <w:rFonts w:eastAsia="Times New Roman"/>
              </w:rPr>
            </w:pPr>
            <w:r w:rsidRPr="00350FE5">
              <w:rPr>
                <w:rFonts w:eastAsia="Times New Roman"/>
              </w:rPr>
              <w:t>8. Green Environment Friendly Establishments</w:t>
            </w:r>
            <w:r w:rsidR="00640760" w:rsidRPr="00350FE5">
              <w:rPr>
                <w:rFonts w:eastAsia="Times New Roman"/>
              </w:rPr>
              <w:t xml:space="preserve"> (GEFE)</w:t>
            </w:r>
          </w:p>
        </w:tc>
        <w:tc>
          <w:tcPr>
            <w:tcW w:w="1280" w:type="dxa"/>
            <w:tcBorders>
              <w:top w:val="single" w:sz="4" w:space="0" w:color="9BC2E6"/>
              <w:left w:val="nil"/>
              <w:bottom w:val="single" w:sz="4" w:space="0" w:color="9BC2E6"/>
              <w:right w:val="nil"/>
            </w:tcBorders>
            <w:shd w:val="clear" w:color="auto" w:fill="auto"/>
            <w:noWrap/>
            <w:hideMark/>
          </w:tcPr>
          <w:p w:rsidR="006F7FDE" w:rsidRPr="00350FE5" w:rsidRDefault="006F7FDE" w:rsidP="009B4300">
            <w:pPr>
              <w:spacing w:after="0" w:line="276" w:lineRule="auto"/>
              <w:jc w:val="both"/>
              <w:rPr>
                <w:rFonts w:eastAsia="Times New Roman"/>
              </w:rPr>
            </w:pPr>
            <w:r w:rsidRPr="00350FE5">
              <w:rPr>
                <w:rFonts w:eastAsia="Times New Roman"/>
              </w:rPr>
              <w:t>0</w:t>
            </w:r>
          </w:p>
        </w:tc>
        <w:tc>
          <w:tcPr>
            <w:tcW w:w="1140" w:type="dxa"/>
            <w:tcBorders>
              <w:top w:val="single" w:sz="4" w:space="0" w:color="9BC2E6"/>
              <w:left w:val="nil"/>
              <w:bottom w:val="single" w:sz="4" w:space="0" w:color="9BC2E6"/>
              <w:right w:val="nil"/>
            </w:tcBorders>
            <w:shd w:val="clear" w:color="auto" w:fill="auto"/>
            <w:noWrap/>
            <w:hideMark/>
          </w:tcPr>
          <w:p w:rsidR="006F7FDE" w:rsidRPr="00350FE5" w:rsidRDefault="006F7FDE" w:rsidP="009B4300">
            <w:pPr>
              <w:spacing w:after="0" w:line="276" w:lineRule="auto"/>
              <w:jc w:val="both"/>
              <w:rPr>
                <w:rFonts w:eastAsia="Times New Roman"/>
              </w:rPr>
            </w:pPr>
            <w:r w:rsidRPr="00350FE5">
              <w:rPr>
                <w:rFonts w:eastAsia="Times New Roman"/>
              </w:rPr>
              <w:t>0</w:t>
            </w:r>
          </w:p>
        </w:tc>
        <w:tc>
          <w:tcPr>
            <w:tcW w:w="1140" w:type="dxa"/>
            <w:tcBorders>
              <w:top w:val="single" w:sz="4" w:space="0" w:color="9BC2E6"/>
              <w:left w:val="nil"/>
              <w:bottom w:val="single" w:sz="4" w:space="0" w:color="9BC2E6"/>
              <w:right w:val="nil"/>
            </w:tcBorders>
            <w:shd w:val="clear" w:color="auto" w:fill="auto"/>
            <w:noWrap/>
            <w:hideMark/>
          </w:tcPr>
          <w:p w:rsidR="006F7FDE" w:rsidRPr="00350FE5" w:rsidRDefault="006F7FDE" w:rsidP="009B4300">
            <w:pPr>
              <w:spacing w:after="0" w:line="276" w:lineRule="auto"/>
              <w:jc w:val="both"/>
              <w:rPr>
                <w:rFonts w:eastAsia="Times New Roman"/>
              </w:rPr>
            </w:pPr>
            <w:r w:rsidRPr="00350FE5">
              <w:rPr>
                <w:rFonts w:eastAsia="Times New Roman"/>
              </w:rPr>
              <w:t>10009..1</w:t>
            </w:r>
          </w:p>
        </w:tc>
        <w:tc>
          <w:tcPr>
            <w:tcW w:w="1120" w:type="dxa"/>
            <w:tcBorders>
              <w:top w:val="single" w:sz="4" w:space="0" w:color="9BC2E6"/>
              <w:left w:val="nil"/>
              <w:bottom w:val="single" w:sz="4" w:space="0" w:color="9BC2E6"/>
              <w:right w:val="single" w:sz="4" w:space="0" w:color="9BC2E6"/>
            </w:tcBorders>
            <w:shd w:val="clear" w:color="auto" w:fill="auto"/>
            <w:noWrap/>
            <w:hideMark/>
          </w:tcPr>
          <w:p w:rsidR="006F7FDE" w:rsidRPr="00350FE5" w:rsidRDefault="006F7FDE" w:rsidP="009B4300">
            <w:pPr>
              <w:spacing w:after="0" w:line="276" w:lineRule="auto"/>
              <w:jc w:val="both"/>
              <w:rPr>
                <w:rFonts w:eastAsia="Times New Roman"/>
              </w:rPr>
            </w:pPr>
            <w:r w:rsidRPr="00350FE5">
              <w:rPr>
                <w:rFonts w:eastAsia="Times New Roman"/>
              </w:rPr>
              <w:t>0</w:t>
            </w:r>
          </w:p>
        </w:tc>
      </w:tr>
      <w:tr w:rsidR="006F7FDE" w:rsidRPr="00350FE5" w:rsidTr="0064112C">
        <w:trPr>
          <w:trHeight w:val="300"/>
        </w:trPr>
        <w:tc>
          <w:tcPr>
            <w:tcW w:w="3880" w:type="dxa"/>
            <w:tcBorders>
              <w:top w:val="single" w:sz="4" w:space="0" w:color="9BC2E6"/>
              <w:left w:val="single" w:sz="4" w:space="0" w:color="9BC2E6"/>
              <w:bottom w:val="single" w:sz="4" w:space="0" w:color="9BC2E6"/>
              <w:right w:val="nil"/>
            </w:tcBorders>
            <w:shd w:val="clear" w:color="DDEBF7" w:fill="DDEBF7"/>
            <w:noWrap/>
            <w:vAlign w:val="bottom"/>
            <w:hideMark/>
          </w:tcPr>
          <w:p w:rsidR="006F7FDE" w:rsidRPr="00350FE5" w:rsidRDefault="006F7FDE" w:rsidP="009B4300">
            <w:pPr>
              <w:spacing w:after="0" w:line="276" w:lineRule="auto"/>
              <w:jc w:val="both"/>
              <w:rPr>
                <w:rFonts w:eastAsia="Times New Roman"/>
              </w:rPr>
            </w:pPr>
            <w:r w:rsidRPr="00350FE5">
              <w:rPr>
                <w:rFonts w:eastAsia="Times New Roman"/>
              </w:rPr>
              <w:t>9. Green Agriculture</w:t>
            </w:r>
          </w:p>
        </w:tc>
        <w:tc>
          <w:tcPr>
            <w:tcW w:w="1280" w:type="dxa"/>
            <w:tcBorders>
              <w:top w:val="single" w:sz="4" w:space="0" w:color="9BC2E6"/>
              <w:left w:val="nil"/>
              <w:bottom w:val="single" w:sz="4" w:space="0" w:color="9BC2E6"/>
              <w:right w:val="nil"/>
            </w:tcBorders>
            <w:shd w:val="clear" w:color="DDEBF7" w:fill="DDEBF7"/>
            <w:noWrap/>
            <w:hideMark/>
          </w:tcPr>
          <w:p w:rsidR="006F7FDE" w:rsidRPr="00350FE5" w:rsidRDefault="006F7FDE" w:rsidP="009B4300">
            <w:pPr>
              <w:spacing w:after="0" w:line="276" w:lineRule="auto"/>
              <w:jc w:val="both"/>
              <w:rPr>
                <w:rFonts w:eastAsia="Times New Roman"/>
              </w:rPr>
            </w:pPr>
            <w:r w:rsidRPr="00350FE5">
              <w:rPr>
                <w:rFonts w:eastAsia="Times New Roman"/>
              </w:rPr>
              <w:t>374.1</w:t>
            </w:r>
          </w:p>
        </w:tc>
        <w:tc>
          <w:tcPr>
            <w:tcW w:w="1140" w:type="dxa"/>
            <w:tcBorders>
              <w:top w:val="single" w:sz="4" w:space="0" w:color="9BC2E6"/>
              <w:left w:val="nil"/>
              <w:bottom w:val="single" w:sz="4" w:space="0" w:color="9BC2E6"/>
              <w:right w:val="nil"/>
            </w:tcBorders>
            <w:shd w:val="clear" w:color="DDEBF7" w:fill="DDEBF7"/>
            <w:noWrap/>
            <w:hideMark/>
          </w:tcPr>
          <w:p w:rsidR="006F7FDE" w:rsidRPr="00350FE5" w:rsidRDefault="006F7FDE" w:rsidP="009B4300">
            <w:pPr>
              <w:spacing w:after="0" w:line="276" w:lineRule="auto"/>
              <w:jc w:val="both"/>
              <w:rPr>
                <w:rFonts w:eastAsia="Times New Roman"/>
              </w:rPr>
            </w:pPr>
            <w:r w:rsidRPr="00350FE5">
              <w:rPr>
                <w:rFonts w:eastAsia="Times New Roman"/>
              </w:rPr>
              <w:t>1.71</w:t>
            </w:r>
          </w:p>
        </w:tc>
        <w:tc>
          <w:tcPr>
            <w:tcW w:w="1140" w:type="dxa"/>
            <w:tcBorders>
              <w:top w:val="single" w:sz="4" w:space="0" w:color="9BC2E6"/>
              <w:left w:val="nil"/>
              <w:bottom w:val="single" w:sz="4" w:space="0" w:color="9BC2E6"/>
              <w:right w:val="nil"/>
            </w:tcBorders>
            <w:shd w:val="clear" w:color="DDEBF7" w:fill="DDEBF7"/>
            <w:noWrap/>
            <w:hideMark/>
          </w:tcPr>
          <w:p w:rsidR="006F7FDE" w:rsidRPr="00350FE5" w:rsidRDefault="006F7FDE" w:rsidP="009B4300">
            <w:pPr>
              <w:spacing w:after="0" w:line="276" w:lineRule="auto"/>
              <w:jc w:val="both"/>
              <w:rPr>
                <w:rFonts w:eastAsia="Times New Roman"/>
              </w:rPr>
            </w:pPr>
            <w:r w:rsidRPr="00350FE5">
              <w:rPr>
                <w:rFonts w:eastAsia="Times New Roman"/>
              </w:rPr>
              <w:t>632.29</w:t>
            </w:r>
          </w:p>
        </w:tc>
        <w:tc>
          <w:tcPr>
            <w:tcW w:w="1120" w:type="dxa"/>
            <w:tcBorders>
              <w:top w:val="single" w:sz="4" w:space="0" w:color="9BC2E6"/>
              <w:left w:val="nil"/>
              <w:bottom w:val="single" w:sz="4" w:space="0" w:color="9BC2E6"/>
              <w:right w:val="single" w:sz="4" w:space="0" w:color="9BC2E6"/>
            </w:tcBorders>
            <w:shd w:val="clear" w:color="DDEBF7" w:fill="DDEBF7"/>
            <w:noWrap/>
            <w:hideMark/>
          </w:tcPr>
          <w:p w:rsidR="006F7FDE" w:rsidRPr="00350FE5" w:rsidRDefault="006F7FDE" w:rsidP="009B4300">
            <w:pPr>
              <w:spacing w:after="0" w:line="276" w:lineRule="auto"/>
              <w:jc w:val="both"/>
              <w:rPr>
                <w:rFonts w:eastAsia="Times New Roman"/>
              </w:rPr>
            </w:pPr>
            <w:r w:rsidRPr="00350FE5">
              <w:rPr>
                <w:rFonts w:eastAsia="Times New Roman"/>
              </w:rPr>
              <w:t>0.1</w:t>
            </w:r>
          </w:p>
        </w:tc>
      </w:tr>
      <w:tr w:rsidR="006F7FDE" w:rsidRPr="00350FE5" w:rsidTr="0064112C">
        <w:trPr>
          <w:trHeight w:val="300"/>
        </w:trPr>
        <w:tc>
          <w:tcPr>
            <w:tcW w:w="3880" w:type="dxa"/>
            <w:tcBorders>
              <w:top w:val="single" w:sz="4" w:space="0" w:color="9BC2E6"/>
              <w:left w:val="single" w:sz="4" w:space="0" w:color="9BC2E6"/>
              <w:bottom w:val="single" w:sz="4" w:space="0" w:color="9BC2E6"/>
              <w:right w:val="nil"/>
            </w:tcBorders>
            <w:shd w:val="clear" w:color="auto" w:fill="auto"/>
            <w:noWrap/>
            <w:vAlign w:val="bottom"/>
            <w:hideMark/>
          </w:tcPr>
          <w:p w:rsidR="006F7FDE" w:rsidRPr="00350FE5" w:rsidRDefault="006F7FDE" w:rsidP="009B4300">
            <w:pPr>
              <w:spacing w:after="0" w:line="276" w:lineRule="auto"/>
              <w:jc w:val="both"/>
              <w:rPr>
                <w:rFonts w:eastAsia="Times New Roman"/>
              </w:rPr>
            </w:pPr>
            <w:r w:rsidRPr="00350FE5">
              <w:rPr>
                <w:rFonts w:eastAsia="Times New Roman"/>
              </w:rPr>
              <w:t>10. Green CMSME</w:t>
            </w:r>
          </w:p>
        </w:tc>
        <w:tc>
          <w:tcPr>
            <w:tcW w:w="1280" w:type="dxa"/>
            <w:tcBorders>
              <w:top w:val="single" w:sz="4" w:space="0" w:color="9BC2E6"/>
              <w:left w:val="nil"/>
              <w:bottom w:val="single" w:sz="4" w:space="0" w:color="9BC2E6"/>
              <w:right w:val="nil"/>
            </w:tcBorders>
            <w:shd w:val="clear" w:color="auto" w:fill="auto"/>
            <w:noWrap/>
            <w:hideMark/>
          </w:tcPr>
          <w:p w:rsidR="006F7FDE" w:rsidRPr="00350FE5" w:rsidRDefault="006F7FDE" w:rsidP="009B4300">
            <w:pPr>
              <w:spacing w:after="0" w:line="276" w:lineRule="auto"/>
              <w:jc w:val="both"/>
              <w:rPr>
                <w:rFonts w:eastAsia="Times New Roman"/>
              </w:rPr>
            </w:pPr>
            <w:r w:rsidRPr="00350FE5">
              <w:rPr>
                <w:rFonts w:eastAsia="Times New Roman"/>
              </w:rPr>
              <w:t>622</w:t>
            </w:r>
          </w:p>
        </w:tc>
        <w:tc>
          <w:tcPr>
            <w:tcW w:w="1140" w:type="dxa"/>
            <w:tcBorders>
              <w:top w:val="single" w:sz="4" w:space="0" w:color="9BC2E6"/>
              <w:left w:val="nil"/>
              <w:bottom w:val="single" w:sz="4" w:space="0" w:color="9BC2E6"/>
              <w:right w:val="nil"/>
            </w:tcBorders>
            <w:shd w:val="clear" w:color="auto" w:fill="auto"/>
            <w:noWrap/>
            <w:hideMark/>
          </w:tcPr>
          <w:p w:rsidR="006F7FDE" w:rsidRPr="00350FE5" w:rsidRDefault="006F7FDE" w:rsidP="009B4300">
            <w:pPr>
              <w:spacing w:after="0" w:line="276" w:lineRule="auto"/>
              <w:jc w:val="both"/>
              <w:rPr>
                <w:rFonts w:eastAsia="Times New Roman"/>
              </w:rPr>
            </w:pPr>
            <w:r w:rsidRPr="00350FE5">
              <w:rPr>
                <w:rFonts w:eastAsia="Times New Roman"/>
              </w:rPr>
              <w:t>0</w:t>
            </w:r>
          </w:p>
        </w:tc>
        <w:tc>
          <w:tcPr>
            <w:tcW w:w="1140" w:type="dxa"/>
            <w:tcBorders>
              <w:top w:val="single" w:sz="4" w:space="0" w:color="9BC2E6"/>
              <w:left w:val="nil"/>
              <w:bottom w:val="single" w:sz="4" w:space="0" w:color="9BC2E6"/>
              <w:right w:val="nil"/>
            </w:tcBorders>
            <w:shd w:val="clear" w:color="auto" w:fill="auto"/>
            <w:noWrap/>
            <w:hideMark/>
          </w:tcPr>
          <w:p w:rsidR="006F7FDE" w:rsidRPr="00350FE5" w:rsidRDefault="006F7FDE" w:rsidP="009B4300">
            <w:pPr>
              <w:spacing w:after="0" w:line="276" w:lineRule="auto"/>
              <w:jc w:val="both"/>
              <w:rPr>
                <w:rFonts w:eastAsia="Times New Roman"/>
              </w:rPr>
            </w:pPr>
            <w:r w:rsidRPr="00350FE5">
              <w:rPr>
                <w:rFonts w:eastAsia="Times New Roman"/>
              </w:rPr>
              <w:t>1058.11</w:t>
            </w:r>
          </w:p>
        </w:tc>
        <w:tc>
          <w:tcPr>
            <w:tcW w:w="1120" w:type="dxa"/>
            <w:tcBorders>
              <w:top w:val="single" w:sz="4" w:space="0" w:color="9BC2E6"/>
              <w:left w:val="nil"/>
              <w:bottom w:val="single" w:sz="4" w:space="0" w:color="9BC2E6"/>
              <w:right w:val="single" w:sz="4" w:space="0" w:color="9BC2E6"/>
            </w:tcBorders>
            <w:shd w:val="clear" w:color="auto" w:fill="auto"/>
            <w:noWrap/>
            <w:hideMark/>
          </w:tcPr>
          <w:p w:rsidR="006F7FDE" w:rsidRPr="00350FE5" w:rsidRDefault="006F7FDE" w:rsidP="009B4300">
            <w:pPr>
              <w:spacing w:after="0" w:line="276" w:lineRule="auto"/>
              <w:jc w:val="both"/>
              <w:rPr>
                <w:rFonts w:eastAsia="Times New Roman"/>
              </w:rPr>
            </w:pPr>
            <w:r w:rsidRPr="00350FE5">
              <w:rPr>
                <w:rFonts w:eastAsia="Times New Roman"/>
              </w:rPr>
              <w:t>0</w:t>
            </w:r>
          </w:p>
        </w:tc>
      </w:tr>
      <w:tr w:rsidR="006F7FDE" w:rsidRPr="00350FE5" w:rsidTr="0064112C">
        <w:trPr>
          <w:trHeight w:val="300"/>
        </w:trPr>
        <w:tc>
          <w:tcPr>
            <w:tcW w:w="3880" w:type="dxa"/>
            <w:tcBorders>
              <w:top w:val="single" w:sz="4" w:space="0" w:color="9BC2E6"/>
              <w:left w:val="single" w:sz="4" w:space="0" w:color="9BC2E6"/>
              <w:bottom w:val="single" w:sz="4" w:space="0" w:color="9BC2E6"/>
              <w:right w:val="nil"/>
            </w:tcBorders>
            <w:shd w:val="clear" w:color="DDEBF7" w:fill="DDEBF7"/>
            <w:noWrap/>
            <w:vAlign w:val="bottom"/>
            <w:hideMark/>
          </w:tcPr>
          <w:p w:rsidR="006F7FDE" w:rsidRPr="00350FE5" w:rsidRDefault="006F7FDE" w:rsidP="009B4300">
            <w:pPr>
              <w:spacing w:after="0" w:line="276" w:lineRule="auto"/>
              <w:jc w:val="both"/>
              <w:rPr>
                <w:rFonts w:eastAsia="Times New Roman"/>
              </w:rPr>
            </w:pPr>
            <w:r w:rsidRPr="00350FE5">
              <w:rPr>
                <w:rFonts w:eastAsia="Times New Roman"/>
              </w:rPr>
              <w:t>11. Green SRF</w:t>
            </w:r>
          </w:p>
        </w:tc>
        <w:tc>
          <w:tcPr>
            <w:tcW w:w="1280" w:type="dxa"/>
            <w:tcBorders>
              <w:top w:val="single" w:sz="4" w:space="0" w:color="9BC2E6"/>
              <w:left w:val="nil"/>
              <w:bottom w:val="single" w:sz="4" w:space="0" w:color="9BC2E6"/>
              <w:right w:val="nil"/>
            </w:tcBorders>
            <w:shd w:val="clear" w:color="DDEBF7" w:fill="DDEBF7"/>
            <w:noWrap/>
            <w:hideMark/>
          </w:tcPr>
          <w:p w:rsidR="006F7FDE" w:rsidRPr="00350FE5" w:rsidRDefault="006F7FDE" w:rsidP="009B4300">
            <w:pPr>
              <w:spacing w:after="0" w:line="276" w:lineRule="auto"/>
              <w:jc w:val="both"/>
              <w:rPr>
                <w:rFonts w:eastAsia="Times New Roman"/>
              </w:rPr>
            </w:pPr>
            <w:r w:rsidRPr="00350FE5">
              <w:rPr>
                <w:rFonts w:eastAsia="Times New Roman"/>
              </w:rPr>
              <w:t>820.31</w:t>
            </w:r>
          </w:p>
        </w:tc>
        <w:tc>
          <w:tcPr>
            <w:tcW w:w="1140" w:type="dxa"/>
            <w:tcBorders>
              <w:top w:val="single" w:sz="4" w:space="0" w:color="9BC2E6"/>
              <w:left w:val="nil"/>
              <w:bottom w:val="single" w:sz="4" w:space="0" w:color="9BC2E6"/>
              <w:right w:val="nil"/>
            </w:tcBorders>
            <w:shd w:val="clear" w:color="DDEBF7" w:fill="DDEBF7"/>
            <w:noWrap/>
            <w:hideMark/>
          </w:tcPr>
          <w:p w:rsidR="006F7FDE" w:rsidRPr="00350FE5" w:rsidRDefault="006F7FDE" w:rsidP="009B4300">
            <w:pPr>
              <w:spacing w:after="0" w:line="276" w:lineRule="auto"/>
              <w:jc w:val="both"/>
              <w:rPr>
                <w:rFonts w:eastAsia="Times New Roman"/>
              </w:rPr>
            </w:pPr>
            <w:r w:rsidRPr="00350FE5">
              <w:rPr>
                <w:rFonts w:eastAsia="Times New Roman"/>
              </w:rPr>
              <w:t>0</w:t>
            </w:r>
          </w:p>
        </w:tc>
        <w:tc>
          <w:tcPr>
            <w:tcW w:w="1140" w:type="dxa"/>
            <w:tcBorders>
              <w:top w:val="single" w:sz="4" w:space="0" w:color="9BC2E6"/>
              <w:left w:val="nil"/>
              <w:bottom w:val="single" w:sz="4" w:space="0" w:color="9BC2E6"/>
              <w:right w:val="nil"/>
            </w:tcBorders>
            <w:shd w:val="clear" w:color="DDEBF7" w:fill="DDEBF7"/>
            <w:noWrap/>
            <w:hideMark/>
          </w:tcPr>
          <w:p w:rsidR="006F7FDE" w:rsidRPr="00350FE5" w:rsidRDefault="006F7FDE" w:rsidP="009B4300">
            <w:pPr>
              <w:spacing w:after="0" w:line="276" w:lineRule="auto"/>
              <w:jc w:val="both"/>
              <w:rPr>
                <w:rFonts w:eastAsia="Times New Roman"/>
              </w:rPr>
            </w:pPr>
            <w:r w:rsidRPr="00350FE5">
              <w:rPr>
                <w:rFonts w:eastAsia="Times New Roman"/>
              </w:rPr>
              <w:t>12414.02</w:t>
            </w:r>
          </w:p>
        </w:tc>
        <w:tc>
          <w:tcPr>
            <w:tcW w:w="1120" w:type="dxa"/>
            <w:tcBorders>
              <w:top w:val="single" w:sz="4" w:space="0" w:color="9BC2E6"/>
              <w:left w:val="nil"/>
              <w:bottom w:val="single" w:sz="4" w:space="0" w:color="9BC2E6"/>
              <w:right w:val="single" w:sz="4" w:space="0" w:color="9BC2E6"/>
            </w:tcBorders>
            <w:shd w:val="clear" w:color="DDEBF7" w:fill="DDEBF7"/>
            <w:noWrap/>
            <w:hideMark/>
          </w:tcPr>
          <w:p w:rsidR="006F7FDE" w:rsidRPr="00350FE5" w:rsidRDefault="006F7FDE" w:rsidP="009B4300">
            <w:pPr>
              <w:spacing w:after="0" w:line="276" w:lineRule="auto"/>
              <w:jc w:val="both"/>
              <w:rPr>
                <w:rFonts w:eastAsia="Times New Roman"/>
              </w:rPr>
            </w:pPr>
            <w:r w:rsidRPr="00350FE5">
              <w:rPr>
                <w:rFonts w:eastAsia="Times New Roman"/>
              </w:rPr>
              <w:t>465.33</w:t>
            </w:r>
          </w:p>
        </w:tc>
      </w:tr>
    </w:tbl>
    <w:p w:rsidR="00F31428" w:rsidRPr="00F31428" w:rsidRDefault="00E94002" w:rsidP="009B4300">
      <w:pPr>
        <w:pStyle w:val="Heading1"/>
        <w:spacing w:line="276" w:lineRule="auto"/>
        <w:jc w:val="both"/>
        <w:rPr>
          <w:rFonts w:ascii="Times New Roman" w:hAnsi="Times New Roman" w:cs="Times New Roman"/>
          <w:color w:val="000000" w:themeColor="text1"/>
          <w:sz w:val="24"/>
          <w:szCs w:val="24"/>
        </w:rPr>
      </w:pPr>
      <w:r w:rsidRPr="00350FE5">
        <w:rPr>
          <w:rFonts w:ascii="Times New Roman" w:hAnsi="Times New Roman" w:cs="Times New Roman"/>
          <w:color w:val="000000" w:themeColor="text1"/>
          <w:sz w:val="24"/>
          <w:szCs w:val="24"/>
        </w:rPr>
        <w:t>Table 4</w:t>
      </w:r>
      <w:r w:rsidR="006F7FDE" w:rsidRPr="00350FE5">
        <w:rPr>
          <w:rFonts w:ascii="Times New Roman" w:hAnsi="Times New Roman" w:cs="Times New Roman"/>
          <w:color w:val="000000" w:themeColor="text1"/>
          <w:sz w:val="24"/>
          <w:szCs w:val="24"/>
        </w:rPr>
        <w:t xml:space="preserve"> shows that SOCBs invest highest in Green SRF 820.31, SDBs in renewable energy 9.04, PCBs in Energy efficiency </w:t>
      </w:r>
      <w:r w:rsidR="006F7FDE" w:rsidRPr="00350FE5">
        <w:rPr>
          <w:rFonts w:ascii="Times New Roman" w:eastAsia="Times New Roman" w:hAnsi="Times New Roman" w:cs="Times New Roman"/>
          <w:color w:val="000000" w:themeColor="text1"/>
          <w:sz w:val="24"/>
          <w:szCs w:val="24"/>
        </w:rPr>
        <w:t xml:space="preserve">15379.29 and FCBs in green SRF </w:t>
      </w:r>
      <w:r w:rsidR="00F31428">
        <w:rPr>
          <w:rFonts w:ascii="Times New Roman" w:eastAsia="Times New Roman" w:hAnsi="Times New Roman" w:cs="Times New Roman"/>
          <w:color w:val="000000" w:themeColor="text1"/>
          <w:sz w:val="24"/>
          <w:szCs w:val="24"/>
        </w:rPr>
        <w:t>465.33 million BDT respectfully.</w:t>
      </w:r>
    </w:p>
    <w:p w:rsidR="006F7FDE" w:rsidRPr="00350FE5" w:rsidRDefault="00F31428" w:rsidP="009B4300">
      <w:pPr>
        <w:pStyle w:val="rtejustify"/>
        <w:shd w:val="clear" w:color="auto" w:fill="FEFEFE"/>
        <w:spacing w:after="0" w:afterAutospacing="0" w:line="276" w:lineRule="auto"/>
        <w:jc w:val="both"/>
        <w:rPr>
          <w:rFonts w:eastAsiaTheme="majorEastAsia"/>
          <w:bCs/>
          <w:color w:val="000000" w:themeColor="text1"/>
        </w:rPr>
      </w:pPr>
      <w:r>
        <w:rPr>
          <w:b/>
          <w:color w:val="000000" w:themeColor="text1"/>
        </w:rPr>
        <w:t xml:space="preserve">4.9 </w:t>
      </w:r>
      <w:r w:rsidR="006F7FDE" w:rsidRPr="00350FE5">
        <w:rPr>
          <w:b/>
          <w:color w:val="000000" w:themeColor="text1"/>
        </w:rPr>
        <w:t xml:space="preserve">Bank-wise target </w:t>
      </w:r>
      <w:r w:rsidR="00E90D17" w:rsidRPr="00350FE5">
        <w:rPr>
          <w:b/>
          <w:color w:val="000000" w:themeColor="text1"/>
        </w:rPr>
        <w:t xml:space="preserve">achieved </w:t>
      </w:r>
      <w:r w:rsidR="00771FEA" w:rsidRPr="00350FE5">
        <w:rPr>
          <w:b/>
          <w:color w:val="000000" w:themeColor="text1"/>
        </w:rPr>
        <w:t>GF and SF</w:t>
      </w:r>
      <w:r w:rsidR="006F7FDE" w:rsidRPr="00350FE5">
        <w:rPr>
          <w:b/>
          <w:color w:val="000000" w:themeColor="text1"/>
        </w:rPr>
        <w:t xml:space="preserve"> in Bangladesh</w:t>
      </w:r>
    </w:p>
    <w:p w:rsidR="00E90D17" w:rsidRPr="00350FE5" w:rsidRDefault="00E90D17" w:rsidP="009B4300">
      <w:pPr>
        <w:pStyle w:val="rtejustify"/>
        <w:shd w:val="clear" w:color="auto" w:fill="FEFEFE"/>
        <w:spacing w:after="0" w:afterAutospacing="0" w:line="276" w:lineRule="auto"/>
        <w:jc w:val="both"/>
        <w:rPr>
          <w:rFonts w:eastAsiaTheme="majorEastAsia"/>
          <w:bCs/>
          <w:color w:val="000000" w:themeColor="text1"/>
        </w:rPr>
      </w:pPr>
    </w:p>
    <w:p w:rsidR="006F7FDE" w:rsidRPr="00350FE5" w:rsidRDefault="006F7FDE" w:rsidP="009B4300">
      <w:pPr>
        <w:spacing w:after="0" w:line="276" w:lineRule="auto"/>
        <w:contextualSpacing/>
        <w:jc w:val="both"/>
        <w:rPr>
          <w:bCs/>
        </w:rPr>
      </w:pPr>
      <w:r w:rsidRPr="00350FE5">
        <w:rPr>
          <w:noProof/>
        </w:rPr>
        <w:drawing>
          <wp:inline distT="0" distB="0" distL="0" distR="0" wp14:anchorId="44F8968B" wp14:editId="0FB43D32">
            <wp:extent cx="5272644" cy="2719450"/>
            <wp:effectExtent l="0" t="0" r="4445" b="5080"/>
            <wp:docPr id="17" name="Chart 17"/>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6F7FDE" w:rsidRPr="00350FE5" w:rsidRDefault="00C71871" w:rsidP="009B4300">
      <w:pPr>
        <w:spacing w:after="0" w:line="276" w:lineRule="auto"/>
        <w:contextualSpacing/>
        <w:jc w:val="both"/>
        <w:rPr>
          <w:bCs/>
        </w:rPr>
      </w:pPr>
      <w:r w:rsidRPr="00350FE5">
        <w:rPr>
          <w:bCs/>
        </w:rPr>
        <w:t>Chart 6</w:t>
      </w:r>
      <w:r w:rsidR="00E43DD3" w:rsidRPr="00350FE5">
        <w:rPr>
          <w:bCs/>
        </w:rPr>
        <w:t>: Target achieved</w:t>
      </w:r>
      <w:r w:rsidR="006F7FDE" w:rsidRPr="00350FE5">
        <w:rPr>
          <w:bCs/>
        </w:rPr>
        <w:t xml:space="preserve"> by banks in GF and SF categorically in 2023</w:t>
      </w:r>
    </w:p>
    <w:p w:rsidR="006F7FDE" w:rsidRPr="00350FE5" w:rsidRDefault="00C71871" w:rsidP="009B4300">
      <w:pPr>
        <w:spacing w:after="0" w:line="276" w:lineRule="auto"/>
        <w:contextualSpacing/>
        <w:jc w:val="both"/>
        <w:rPr>
          <w:bCs/>
        </w:rPr>
      </w:pPr>
      <w:r w:rsidRPr="00350FE5">
        <w:rPr>
          <w:bCs/>
        </w:rPr>
        <w:t>The chart 6</w:t>
      </w:r>
      <w:r w:rsidR="006F7FDE" w:rsidRPr="00350FE5">
        <w:rPr>
          <w:bCs/>
        </w:rPr>
        <w:t xml:space="preserve"> indicates 61 banks’ exposure to green finance and sustainable finance i</w:t>
      </w:r>
      <w:r w:rsidR="002957F7" w:rsidRPr="00350FE5">
        <w:rPr>
          <w:bCs/>
        </w:rPr>
        <w:t>n 2023 at a glance where PCBs green finance is 11.37% and sustainable finance</w:t>
      </w:r>
      <w:r w:rsidR="006F7FDE" w:rsidRPr="00350FE5">
        <w:rPr>
          <w:bCs/>
        </w:rPr>
        <w:t xml:space="preserve"> is 40.01% hold the highest</w:t>
      </w:r>
      <w:r w:rsidR="00113112" w:rsidRPr="00350FE5">
        <w:rPr>
          <w:bCs/>
        </w:rPr>
        <w:t xml:space="preserve"> position in Q</w:t>
      </w:r>
      <w:r w:rsidR="00113112" w:rsidRPr="00350FE5">
        <w:rPr>
          <w:bCs/>
          <w:vertAlign w:val="subscript"/>
        </w:rPr>
        <w:t>4</w:t>
      </w:r>
      <w:r w:rsidR="00113112" w:rsidRPr="00350FE5">
        <w:rPr>
          <w:bCs/>
        </w:rPr>
        <w:t>.</w:t>
      </w:r>
    </w:p>
    <w:p w:rsidR="00E90D17" w:rsidRPr="00350FE5" w:rsidRDefault="00E90D17" w:rsidP="009B4300">
      <w:pPr>
        <w:spacing w:after="0" w:line="276" w:lineRule="auto"/>
        <w:contextualSpacing/>
        <w:jc w:val="both"/>
        <w:rPr>
          <w:bCs/>
        </w:rPr>
      </w:pPr>
    </w:p>
    <w:p w:rsidR="00F31428" w:rsidRDefault="00F31428" w:rsidP="009B4300">
      <w:pPr>
        <w:spacing w:after="0" w:line="276" w:lineRule="auto"/>
        <w:contextualSpacing/>
        <w:jc w:val="both"/>
        <w:rPr>
          <w:b/>
          <w:bCs/>
        </w:rPr>
      </w:pPr>
      <w:r>
        <w:rPr>
          <w:b/>
          <w:bCs/>
        </w:rPr>
        <w:lastRenderedPageBreak/>
        <w:t xml:space="preserve">4.10 Sector-wise green finance </w:t>
      </w:r>
      <w:r w:rsidRPr="00350FE5">
        <w:rPr>
          <w:b/>
          <w:bCs/>
        </w:rPr>
        <w:t>by banks in 2023</w:t>
      </w:r>
    </w:p>
    <w:p w:rsidR="006F7FDE" w:rsidRPr="00350FE5" w:rsidRDefault="00E94002" w:rsidP="009B4300">
      <w:pPr>
        <w:spacing w:after="0" w:line="276" w:lineRule="auto"/>
        <w:contextualSpacing/>
        <w:jc w:val="both"/>
        <w:rPr>
          <w:b/>
          <w:bCs/>
        </w:rPr>
      </w:pPr>
      <w:r w:rsidRPr="00350FE5">
        <w:rPr>
          <w:b/>
          <w:bCs/>
        </w:rPr>
        <w:t>Table 5</w:t>
      </w:r>
      <w:r w:rsidR="006F7FDE" w:rsidRPr="00350FE5">
        <w:rPr>
          <w:b/>
          <w:bCs/>
        </w:rPr>
        <w:t xml:space="preserve">: Sector-wise </w:t>
      </w:r>
      <w:r w:rsidR="00771FEA" w:rsidRPr="00350FE5">
        <w:rPr>
          <w:b/>
          <w:bCs/>
        </w:rPr>
        <w:t>GF</w:t>
      </w:r>
      <w:r w:rsidR="00E43DD3" w:rsidRPr="00350FE5">
        <w:rPr>
          <w:b/>
          <w:bCs/>
        </w:rPr>
        <w:t xml:space="preserve"> by banks in 2023 (</w:t>
      </w:r>
      <w:r w:rsidR="006F7FDE" w:rsidRPr="00350FE5">
        <w:rPr>
          <w:b/>
          <w:bCs/>
        </w:rPr>
        <w:t>in million Tk.)</w:t>
      </w:r>
    </w:p>
    <w:p w:rsidR="00E90D17" w:rsidRPr="00350FE5" w:rsidRDefault="00E90D17" w:rsidP="009B4300">
      <w:pPr>
        <w:spacing w:after="0" w:line="276" w:lineRule="auto"/>
        <w:contextualSpacing/>
        <w:jc w:val="both"/>
        <w:rPr>
          <w:b/>
          <w:bCs/>
        </w:rPr>
      </w:pPr>
    </w:p>
    <w:tbl>
      <w:tblPr>
        <w:tblW w:w="5000" w:type="pct"/>
        <w:tblLook w:val="04A0" w:firstRow="1" w:lastRow="0" w:firstColumn="1" w:lastColumn="0" w:noHBand="0" w:noVBand="1"/>
      </w:tblPr>
      <w:tblGrid>
        <w:gridCol w:w="5363"/>
        <w:gridCol w:w="597"/>
        <w:gridCol w:w="707"/>
        <w:gridCol w:w="816"/>
        <w:gridCol w:w="816"/>
      </w:tblGrid>
      <w:tr w:rsidR="006F7FDE" w:rsidRPr="00350FE5" w:rsidTr="0064112C">
        <w:trPr>
          <w:trHeight w:val="315"/>
        </w:trPr>
        <w:tc>
          <w:tcPr>
            <w:tcW w:w="2849" w:type="pct"/>
            <w:tcBorders>
              <w:top w:val="single" w:sz="4" w:space="0" w:color="9BC2E6"/>
              <w:left w:val="single" w:sz="4" w:space="0" w:color="9BC2E6"/>
              <w:bottom w:val="single" w:sz="4" w:space="0" w:color="9BC2E6"/>
              <w:right w:val="nil"/>
            </w:tcBorders>
            <w:shd w:val="clear" w:color="5B9BD5" w:fill="5B9BD5"/>
            <w:noWrap/>
            <w:vAlign w:val="bottom"/>
            <w:hideMark/>
          </w:tcPr>
          <w:p w:rsidR="006F7FDE" w:rsidRPr="00350FE5" w:rsidRDefault="006F7FDE" w:rsidP="009B4300">
            <w:pPr>
              <w:spacing w:after="0" w:line="276" w:lineRule="auto"/>
              <w:contextualSpacing/>
              <w:jc w:val="both"/>
              <w:rPr>
                <w:rFonts w:eastAsia="Times New Roman"/>
                <w:bCs/>
                <w:color w:val="FFFFFF" w:themeColor="background1"/>
              </w:rPr>
            </w:pPr>
            <w:r w:rsidRPr="00350FE5">
              <w:rPr>
                <w:rFonts w:eastAsia="Times New Roman"/>
                <w:bCs/>
                <w:color w:val="FFFFFF" w:themeColor="background1"/>
              </w:rPr>
              <w:t>Sub Category/Product Name</w:t>
            </w:r>
          </w:p>
        </w:tc>
        <w:tc>
          <w:tcPr>
            <w:tcW w:w="563" w:type="pct"/>
            <w:tcBorders>
              <w:top w:val="single" w:sz="4" w:space="0" w:color="9BC2E6"/>
              <w:left w:val="nil"/>
              <w:bottom w:val="single" w:sz="4" w:space="0" w:color="9BC2E6"/>
              <w:right w:val="nil"/>
            </w:tcBorders>
            <w:shd w:val="clear" w:color="5B9BD5" w:fill="5B9BD5"/>
            <w:noWrap/>
            <w:vAlign w:val="bottom"/>
            <w:hideMark/>
          </w:tcPr>
          <w:p w:rsidR="006F7FDE" w:rsidRPr="00350FE5" w:rsidRDefault="006F7FDE" w:rsidP="009B4300">
            <w:pPr>
              <w:spacing w:after="0" w:line="276" w:lineRule="auto"/>
              <w:contextualSpacing/>
              <w:jc w:val="both"/>
              <w:rPr>
                <w:rFonts w:eastAsia="Times New Roman"/>
                <w:bCs/>
                <w:color w:val="FFFFFF" w:themeColor="background1"/>
              </w:rPr>
            </w:pPr>
            <w:r w:rsidRPr="00350FE5">
              <w:rPr>
                <w:rFonts w:eastAsia="Times New Roman"/>
                <w:bCs/>
                <w:color w:val="FFFFFF" w:themeColor="background1"/>
              </w:rPr>
              <w:t>Q</w:t>
            </w:r>
            <w:r w:rsidRPr="00350FE5">
              <w:rPr>
                <w:rFonts w:eastAsia="Times New Roman"/>
                <w:bCs/>
                <w:color w:val="FFFFFF" w:themeColor="background1"/>
                <w:vertAlign w:val="subscript"/>
              </w:rPr>
              <w:t>1</w:t>
            </w:r>
          </w:p>
        </w:tc>
        <w:tc>
          <w:tcPr>
            <w:tcW w:w="529" w:type="pct"/>
            <w:tcBorders>
              <w:top w:val="single" w:sz="4" w:space="0" w:color="9BC2E6"/>
              <w:left w:val="nil"/>
              <w:bottom w:val="single" w:sz="4" w:space="0" w:color="9BC2E6"/>
              <w:right w:val="nil"/>
            </w:tcBorders>
            <w:shd w:val="clear" w:color="5B9BD5" w:fill="5B9BD5"/>
            <w:noWrap/>
            <w:vAlign w:val="bottom"/>
            <w:hideMark/>
          </w:tcPr>
          <w:p w:rsidR="006F7FDE" w:rsidRPr="00350FE5" w:rsidRDefault="006F7FDE" w:rsidP="009B4300">
            <w:pPr>
              <w:spacing w:after="0" w:line="276" w:lineRule="auto"/>
              <w:contextualSpacing/>
              <w:jc w:val="both"/>
              <w:rPr>
                <w:rFonts w:eastAsia="Times New Roman"/>
                <w:bCs/>
                <w:color w:val="FFFFFF" w:themeColor="background1"/>
              </w:rPr>
            </w:pPr>
            <w:r w:rsidRPr="00350FE5">
              <w:rPr>
                <w:rFonts w:eastAsia="Times New Roman"/>
                <w:bCs/>
                <w:color w:val="FFFFFF" w:themeColor="background1"/>
              </w:rPr>
              <w:t>Q</w:t>
            </w:r>
            <w:r w:rsidRPr="00350FE5">
              <w:rPr>
                <w:rFonts w:eastAsia="Times New Roman"/>
                <w:bCs/>
                <w:color w:val="FFFFFF" w:themeColor="background1"/>
                <w:vertAlign w:val="subscript"/>
              </w:rPr>
              <w:t>2</w:t>
            </w:r>
          </w:p>
        </w:tc>
        <w:tc>
          <w:tcPr>
            <w:tcW w:w="529" w:type="pct"/>
            <w:tcBorders>
              <w:top w:val="single" w:sz="4" w:space="0" w:color="9BC2E6"/>
              <w:left w:val="nil"/>
              <w:bottom w:val="single" w:sz="4" w:space="0" w:color="9BC2E6"/>
              <w:right w:val="nil"/>
            </w:tcBorders>
            <w:shd w:val="clear" w:color="5B9BD5" w:fill="5B9BD5"/>
            <w:noWrap/>
            <w:vAlign w:val="bottom"/>
            <w:hideMark/>
          </w:tcPr>
          <w:p w:rsidR="006F7FDE" w:rsidRPr="00350FE5" w:rsidRDefault="006F7FDE" w:rsidP="009B4300">
            <w:pPr>
              <w:spacing w:after="0" w:line="276" w:lineRule="auto"/>
              <w:contextualSpacing/>
              <w:jc w:val="both"/>
              <w:rPr>
                <w:rFonts w:eastAsia="Times New Roman"/>
                <w:bCs/>
                <w:color w:val="FFFFFF" w:themeColor="background1"/>
              </w:rPr>
            </w:pPr>
            <w:r w:rsidRPr="00350FE5">
              <w:rPr>
                <w:rFonts w:eastAsia="Times New Roman"/>
                <w:bCs/>
                <w:color w:val="FFFFFF" w:themeColor="background1"/>
              </w:rPr>
              <w:t>Q</w:t>
            </w:r>
            <w:r w:rsidRPr="00350FE5">
              <w:rPr>
                <w:rFonts w:eastAsia="Times New Roman"/>
                <w:bCs/>
                <w:color w:val="FFFFFF" w:themeColor="background1"/>
                <w:vertAlign w:val="subscript"/>
              </w:rPr>
              <w:t>3</w:t>
            </w:r>
          </w:p>
        </w:tc>
        <w:tc>
          <w:tcPr>
            <w:tcW w:w="529" w:type="pct"/>
            <w:tcBorders>
              <w:top w:val="single" w:sz="4" w:space="0" w:color="9BC2E6"/>
              <w:left w:val="nil"/>
              <w:bottom w:val="single" w:sz="4" w:space="0" w:color="9BC2E6"/>
              <w:right w:val="single" w:sz="4" w:space="0" w:color="9BC2E6"/>
            </w:tcBorders>
            <w:shd w:val="clear" w:color="5B9BD5" w:fill="5B9BD5"/>
            <w:noWrap/>
            <w:vAlign w:val="bottom"/>
            <w:hideMark/>
          </w:tcPr>
          <w:p w:rsidR="006F7FDE" w:rsidRPr="00350FE5" w:rsidRDefault="006F7FDE" w:rsidP="009B4300">
            <w:pPr>
              <w:spacing w:after="0" w:line="276" w:lineRule="auto"/>
              <w:contextualSpacing/>
              <w:jc w:val="both"/>
              <w:rPr>
                <w:rFonts w:eastAsia="Times New Roman"/>
                <w:bCs/>
                <w:color w:val="FFFFFF" w:themeColor="background1"/>
              </w:rPr>
            </w:pPr>
            <w:r w:rsidRPr="00350FE5">
              <w:rPr>
                <w:rFonts w:eastAsia="Times New Roman"/>
                <w:bCs/>
                <w:color w:val="FFFFFF" w:themeColor="background1"/>
              </w:rPr>
              <w:t>Q</w:t>
            </w:r>
            <w:r w:rsidRPr="00350FE5">
              <w:rPr>
                <w:rFonts w:eastAsia="Times New Roman"/>
                <w:bCs/>
                <w:color w:val="FFFFFF" w:themeColor="background1"/>
                <w:vertAlign w:val="subscript"/>
              </w:rPr>
              <w:t>4</w:t>
            </w:r>
          </w:p>
        </w:tc>
      </w:tr>
      <w:tr w:rsidR="006F7FDE" w:rsidRPr="00350FE5" w:rsidTr="0064112C">
        <w:trPr>
          <w:trHeight w:val="300"/>
        </w:trPr>
        <w:tc>
          <w:tcPr>
            <w:tcW w:w="2849" w:type="pct"/>
            <w:tcBorders>
              <w:top w:val="single" w:sz="4" w:space="0" w:color="9BC2E6"/>
              <w:left w:val="single" w:sz="4" w:space="0" w:color="9BC2E6"/>
              <w:bottom w:val="single" w:sz="4" w:space="0" w:color="9BC2E6"/>
              <w:right w:val="nil"/>
            </w:tcBorders>
            <w:shd w:val="clear" w:color="DDEBF7" w:fill="DDEBF7"/>
            <w:noWrap/>
            <w:vAlign w:val="bottom"/>
            <w:hideMark/>
          </w:tcPr>
          <w:p w:rsidR="006F7FDE" w:rsidRPr="00350FE5" w:rsidRDefault="006F7FDE" w:rsidP="009B4300">
            <w:pPr>
              <w:spacing w:after="0" w:line="276" w:lineRule="auto"/>
              <w:contextualSpacing/>
              <w:jc w:val="both"/>
              <w:rPr>
                <w:rFonts w:eastAsia="Times New Roman"/>
              </w:rPr>
            </w:pPr>
            <w:r w:rsidRPr="00350FE5">
              <w:rPr>
                <w:rFonts w:eastAsia="Times New Roman"/>
              </w:rPr>
              <w:t>1. Establishment of Green Industry</w:t>
            </w:r>
          </w:p>
        </w:tc>
        <w:tc>
          <w:tcPr>
            <w:tcW w:w="563" w:type="pct"/>
            <w:tcBorders>
              <w:top w:val="single" w:sz="4" w:space="0" w:color="9BC2E6"/>
              <w:left w:val="nil"/>
              <w:bottom w:val="single" w:sz="4" w:space="0" w:color="9BC2E6"/>
              <w:right w:val="nil"/>
            </w:tcBorders>
            <w:shd w:val="clear" w:color="DDEBF7" w:fill="DDEBF7"/>
            <w:noWrap/>
            <w:vAlign w:val="bottom"/>
            <w:hideMark/>
          </w:tcPr>
          <w:p w:rsidR="006F7FDE" w:rsidRPr="00350FE5" w:rsidRDefault="006F7FDE" w:rsidP="009B4300">
            <w:pPr>
              <w:spacing w:after="0" w:line="276" w:lineRule="auto"/>
              <w:contextualSpacing/>
              <w:jc w:val="both"/>
              <w:rPr>
                <w:rFonts w:eastAsia="Times New Roman"/>
              </w:rPr>
            </w:pPr>
            <w:r w:rsidRPr="00350FE5">
              <w:rPr>
                <w:rFonts w:eastAsia="Times New Roman"/>
              </w:rPr>
              <w:t>0</w:t>
            </w:r>
          </w:p>
        </w:tc>
        <w:tc>
          <w:tcPr>
            <w:tcW w:w="529" w:type="pct"/>
            <w:tcBorders>
              <w:top w:val="single" w:sz="4" w:space="0" w:color="9BC2E6"/>
              <w:left w:val="nil"/>
              <w:bottom w:val="single" w:sz="4" w:space="0" w:color="9BC2E6"/>
              <w:right w:val="nil"/>
            </w:tcBorders>
            <w:shd w:val="clear" w:color="DDEBF7" w:fill="DDEBF7"/>
            <w:noWrap/>
            <w:vAlign w:val="bottom"/>
            <w:hideMark/>
          </w:tcPr>
          <w:p w:rsidR="006F7FDE" w:rsidRPr="00350FE5" w:rsidRDefault="006F7FDE" w:rsidP="009B4300">
            <w:pPr>
              <w:spacing w:after="0" w:line="276" w:lineRule="auto"/>
              <w:contextualSpacing/>
              <w:jc w:val="both"/>
              <w:rPr>
                <w:rFonts w:eastAsia="Times New Roman"/>
              </w:rPr>
            </w:pPr>
            <w:r w:rsidRPr="00350FE5">
              <w:rPr>
                <w:rFonts w:eastAsia="Times New Roman"/>
              </w:rPr>
              <w:t>0</w:t>
            </w:r>
          </w:p>
        </w:tc>
        <w:tc>
          <w:tcPr>
            <w:tcW w:w="529" w:type="pct"/>
            <w:tcBorders>
              <w:top w:val="single" w:sz="4" w:space="0" w:color="9BC2E6"/>
              <w:left w:val="nil"/>
              <w:bottom w:val="single" w:sz="4" w:space="0" w:color="9BC2E6"/>
              <w:right w:val="nil"/>
            </w:tcBorders>
            <w:shd w:val="clear" w:color="DDEBF7" w:fill="DDEBF7"/>
            <w:noWrap/>
            <w:vAlign w:val="bottom"/>
            <w:hideMark/>
          </w:tcPr>
          <w:p w:rsidR="006F7FDE" w:rsidRPr="00350FE5" w:rsidRDefault="006F7FDE" w:rsidP="009B4300">
            <w:pPr>
              <w:spacing w:after="0" w:line="276" w:lineRule="auto"/>
              <w:contextualSpacing/>
              <w:jc w:val="both"/>
              <w:rPr>
                <w:rFonts w:eastAsia="Times New Roman"/>
              </w:rPr>
            </w:pPr>
            <w:r w:rsidRPr="00350FE5">
              <w:rPr>
                <w:rFonts w:eastAsia="Times New Roman"/>
              </w:rPr>
              <w:t>0</w:t>
            </w:r>
          </w:p>
        </w:tc>
        <w:tc>
          <w:tcPr>
            <w:tcW w:w="529" w:type="pct"/>
            <w:tcBorders>
              <w:top w:val="single" w:sz="4" w:space="0" w:color="9BC2E6"/>
              <w:left w:val="nil"/>
              <w:bottom w:val="single" w:sz="4" w:space="0" w:color="9BC2E6"/>
              <w:right w:val="single" w:sz="4" w:space="0" w:color="9BC2E6"/>
            </w:tcBorders>
            <w:shd w:val="clear" w:color="DDEBF7" w:fill="DDEBF7"/>
            <w:noWrap/>
            <w:vAlign w:val="bottom"/>
            <w:hideMark/>
          </w:tcPr>
          <w:p w:rsidR="006F7FDE" w:rsidRPr="00350FE5" w:rsidRDefault="006F7FDE" w:rsidP="009B4300">
            <w:pPr>
              <w:spacing w:after="0" w:line="276" w:lineRule="auto"/>
              <w:contextualSpacing/>
              <w:jc w:val="both"/>
              <w:rPr>
                <w:rFonts w:eastAsia="Times New Roman"/>
              </w:rPr>
            </w:pPr>
            <w:r w:rsidRPr="00350FE5">
              <w:rPr>
                <w:rFonts w:eastAsia="Times New Roman"/>
              </w:rPr>
              <w:t>9.93</w:t>
            </w:r>
          </w:p>
        </w:tc>
      </w:tr>
      <w:tr w:rsidR="006F7FDE" w:rsidRPr="00350FE5" w:rsidTr="0064112C">
        <w:trPr>
          <w:trHeight w:val="300"/>
        </w:trPr>
        <w:tc>
          <w:tcPr>
            <w:tcW w:w="2849" w:type="pct"/>
            <w:tcBorders>
              <w:top w:val="single" w:sz="4" w:space="0" w:color="9BC2E6"/>
              <w:left w:val="single" w:sz="4" w:space="0" w:color="9BC2E6"/>
              <w:bottom w:val="single" w:sz="4" w:space="0" w:color="9BC2E6"/>
              <w:right w:val="nil"/>
            </w:tcBorders>
            <w:shd w:val="clear" w:color="auto" w:fill="auto"/>
            <w:noWrap/>
            <w:vAlign w:val="bottom"/>
            <w:hideMark/>
          </w:tcPr>
          <w:p w:rsidR="006F7FDE" w:rsidRPr="00350FE5" w:rsidRDefault="006F7FDE" w:rsidP="009B4300">
            <w:pPr>
              <w:spacing w:after="0" w:line="276" w:lineRule="auto"/>
              <w:contextualSpacing/>
              <w:jc w:val="both"/>
              <w:rPr>
                <w:rFonts w:eastAsia="Times New Roman"/>
              </w:rPr>
            </w:pPr>
            <w:r w:rsidRPr="00350FE5">
              <w:rPr>
                <w:rFonts w:eastAsia="Times New Roman"/>
              </w:rPr>
              <w:t>2. Solar Home System (SHS)</w:t>
            </w:r>
          </w:p>
        </w:tc>
        <w:tc>
          <w:tcPr>
            <w:tcW w:w="563" w:type="pct"/>
            <w:tcBorders>
              <w:top w:val="single" w:sz="4" w:space="0" w:color="9BC2E6"/>
              <w:left w:val="nil"/>
              <w:bottom w:val="single" w:sz="4" w:space="0" w:color="9BC2E6"/>
              <w:right w:val="nil"/>
            </w:tcBorders>
            <w:shd w:val="clear" w:color="auto" w:fill="auto"/>
            <w:noWrap/>
            <w:vAlign w:val="bottom"/>
            <w:hideMark/>
          </w:tcPr>
          <w:p w:rsidR="006F7FDE" w:rsidRPr="00350FE5" w:rsidRDefault="006F7FDE" w:rsidP="009B4300">
            <w:pPr>
              <w:spacing w:after="0" w:line="276" w:lineRule="auto"/>
              <w:contextualSpacing/>
              <w:jc w:val="both"/>
              <w:rPr>
                <w:rFonts w:eastAsia="Times New Roman"/>
              </w:rPr>
            </w:pPr>
            <w:r w:rsidRPr="00350FE5">
              <w:rPr>
                <w:rFonts w:eastAsia="Times New Roman"/>
              </w:rPr>
              <w:t>0</w:t>
            </w:r>
          </w:p>
        </w:tc>
        <w:tc>
          <w:tcPr>
            <w:tcW w:w="529" w:type="pct"/>
            <w:tcBorders>
              <w:top w:val="single" w:sz="4" w:space="0" w:color="9BC2E6"/>
              <w:left w:val="nil"/>
              <w:bottom w:val="single" w:sz="4" w:space="0" w:color="9BC2E6"/>
              <w:right w:val="nil"/>
            </w:tcBorders>
            <w:shd w:val="clear" w:color="auto" w:fill="auto"/>
            <w:noWrap/>
            <w:vAlign w:val="bottom"/>
            <w:hideMark/>
          </w:tcPr>
          <w:p w:rsidR="006F7FDE" w:rsidRPr="00350FE5" w:rsidRDefault="006F7FDE" w:rsidP="009B4300">
            <w:pPr>
              <w:spacing w:after="0" w:line="276" w:lineRule="auto"/>
              <w:contextualSpacing/>
              <w:jc w:val="both"/>
              <w:rPr>
                <w:rFonts w:eastAsia="Times New Roman"/>
              </w:rPr>
            </w:pPr>
            <w:r w:rsidRPr="00350FE5">
              <w:rPr>
                <w:rFonts w:eastAsia="Times New Roman"/>
              </w:rPr>
              <w:t>0</w:t>
            </w:r>
          </w:p>
        </w:tc>
        <w:tc>
          <w:tcPr>
            <w:tcW w:w="529" w:type="pct"/>
            <w:tcBorders>
              <w:top w:val="single" w:sz="4" w:space="0" w:color="9BC2E6"/>
              <w:left w:val="nil"/>
              <w:bottom w:val="single" w:sz="4" w:space="0" w:color="9BC2E6"/>
              <w:right w:val="nil"/>
            </w:tcBorders>
            <w:shd w:val="clear" w:color="auto" w:fill="auto"/>
            <w:noWrap/>
            <w:vAlign w:val="bottom"/>
            <w:hideMark/>
          </w:tcPr>
          <w:p w:rsidR="006F7FDE" w:rsidRPr="00350FE5" w:rsidRDefault="006F7FDE" w:rsidP="009B4300">
            <w:pPr>
              <w:spacing w:after="0" w:line="276" w:lineRule="auto"/>
              <w:contextualSpacing/>
              <w:jc w:val="both"/>
              <w:rPr>
                <w:rFonts w:eastAsia="Times New Roman"/>
              </w:rPr>
            </w:pPr>
            <w:r w:rsidRPr="00350FE5">
              <w:rPr>
                <w:rFonts w:eastAsia="Times New Roman"/>
              </w:rPr>
              <w:t>1.67</w:t>
            </w:r>
          </w:p>
        </w:tc>
        <w:tc>
          <w:tcPr>
            <w:tcW w:w="529" w:type="pct"/>
            <w:tcBorders>
              <w:top w:val="single" w:sz="4" w:space="0" w:color="9BC2E6"/>
              <w:left w:val="nil"/>
              <w:bottom w:val="single" w:sz="4" w:space="0" w:color="9BC2E6"/>
              <w:right w:val="single" w:sz="4" w:space="0" w:color="9BC2E6"/>
            </w:tcBorders>
            <w:shd w:val="clear" w:color="auto" w:fill="auto"/>
            <w:noWrap/>
            <w:vAlign w:val="bottom"/>
            <w:hideMark/>
          </w:tcPr>
          <w:p w:rsidR="006F7FDE" w:rsidRPr="00350FE5" w:rsidRDefault="006F7FDE" w:rsidP="009B4300">
            <w:pPr>
              <w:spacing w:after="0" w:line="276" w:lineRule="auto"/>
              <w:contextualSpacing/>
              <w:jc w:val="both"/>
              <w:rPr>
                <w:rFonts w:eastAsia="Times New Roman"/>
              </w:rPr>
            </w:pPr>
            <w:r w:rsidRPr="00350FE5">
              <w:rPr>
                <w:rFonts w:eastAsia="Times New Roman"/>
              </w:rPr>
              <w:t>1.13</w:t>
            </w:r>
          </w:p>
        </w:tc>
      </w:tr>
      <w:tr w:rsidR="006F7FDE" w:rsidRPr="00350FE5" w:rsidTr="0064112C">
        <w:trPr>
          <w:trHeight w:val="300"/>
        </w:trPr>
        <w:tc>
          <w:tcPr>
            <w:tcW w:w="2849" w:type="pct"/>
            <w:tcBorders>
              <w:top w:val="single" w:sz="4" w:space="0" w:color="9BC2E6"/>
              <w:left w:val="single" w:sz="4" w:space="0" w:color="9BC2E6"/>
              <w:bottom w:val="single" w:sz="4" w:space="0" w:color="9BC2E6"/>
              <w:right w:val="nil"/>
            </w:tcBorders>
            <w:shd w:val="clear" w:color="DDEBF7" w:fill="DDEBF7"/>
            <w:noWrap/>
            <w:vAlign w:val="bottom"/>
            <w:hideMark/>
          </w:tcPr>
          <w:p w:rsidR="006F7FDE" w:rsidRPr="00350FE5" w:rsidRDefault="006F7FDE" w:rsidP="009B4300">
            <w:pPr>
              <w:spacing w:after="0" w:line="276" w:lineRule="auto"/>
              <w:contextualSpacing/>
              <w:jc w:val="both"/>
              <w:rPr>
                <w:rFonts w:eastAsia="Times New Roman"/>
              </w:rPr>
            </w:pPr>
            <w:r w:rsidRPr="00350FE5">
              <w:rPr>
                <w:rFonts w:eastAsia="Times New Roman"/>
              </w:rPr>
              <w:t>3. Integrated Cow Rearing and Setting Up of Bio-gas Plant</w:t>
            </w:r>
          </w:p>
        </w:tc>
        <w:tc>
          <w:tcPr>
            <w:tcW w:w="563" w:type="pct"/>
            <w:tcBorders>
              <w:top w:val="single" w:sz="4" w:space="0" w:color="9BC2E6"/>
              <w:left w:val="nil"/>
              <w:bottom w:val="single" w:sz="4" w:space="0" w:color="9BC2E6"/>
              <w:right w:val="nil"/>
            </w:tcBorders>
            <w:shd w:val="clear" w:color="DDEBF7" w:fill="DDEBF7"/>
            <w:noWrap/>
            <w:vAlign w:val="bottom"/>
            <w:hideMark/>
          </w:tcPr>
          <w:p w:rsidR="006F7FDE" w:rsidRPr="00350FE5" w:rsidRDefault="006F7FDE" w:rsidP="009B4300">
            <w:pPr>
              <w:spacing w:after="0" w:line="276" w:lineRule="auto"/>
              <w:contextualSpacing/>
              <w:jc w:val="both"/>
              <w:rPr>
                <w:rFonts w:eastAsia="Times New Roman"/>
              </w:rPr>
            </w:pPr>
            <w:r w:rsidRPr="00350FE5">
              <w:rPr>
                <w:rFonts w:eastAsia="Times New Roman"/>
              </w:rPr>
              <w:t>0</w:t>
            </w:r>
          </w:p>
        </w:tc>
        <w:tc>
          <w:tcPr>
            <w:tcW w:w="529" w:type="pct"/>
            <w:tcBorders>
              <w:top w:val="single" w:sz="4" w:space="0" w:color="9BC2E6"/>
              <w:left w:val="nil"/>
              <w:bottom w:val="single" w:sz="4" w:space="0" w:color="9BC2E6"/>
              <w:right w:val="nil"/>
            </w:tcBorders>
            <w:shd w:val="clear" w:color="DDEBF7" w:fill="DDEBF7"/>
            <w:noWrap/>
            <w:vAlign w:val="bottom"/>
            <w:hideMark/>
          </w:tcPr>
          <w:p w:rsidR="006F7FDE" w:rsidRPr="00350FE5" w:rsidRDefault="006F7FDE" w:rsidP="009B4300">
            <w:pPr>
              <w:spacing w:after="0" w:line="276" w:lineRule="auto"/>
              <w:contextualSpacing/>
              <w:jc w:val="both"/>
              <w:rPr>
                <w:rFonts w:eastAsia="Times New Roman"/>
              </w:rPr>
            </w:pPr>
            <w:r w:rsidRPr="00350FE5">
              <w:rPr>
                <w:rFonts w:eastAsia="Times New Roman"/>
              </w:rPr>
              <w:t>0</w:t>
            </w:r>
          </w:p>
        </w:tc>
        <w:tc>
          <w:tcPr>
            <w:tcW w:w="529" w:type="pct"/>
            <w:tcBorders>
              <w:top w:val="single" w:sz="4" w:space="0" w:color="9BC2E6"/>
              <w:left w:val="nil"/>
              <w:bottom w:val="single" w:sz="4" w:space="0" w:color="9BC2E6"/>
              <w:right w:val="nil"/>
            </w:tcBorders>
            <w:shd w:val="clear" w:color="DDEBF7" w:fill="DDEBF7"/>
            <w:noWrap/>
            <w:vAlign w:val="bottom"/>
            <w:hideMark/>
          </w:tcPr>
          <w:p w:rsidR="006F7FDE" w:rsidRPr="00350FE5" w:rsidRDefault="006F7FDE" w:rsidP="009B4300">
            <w:pPr>
              <w:spacing w:after="0" w:line="276" w:lineRule="auto"/>
              <w:contextualSpacing/>
              <w:jc w:val="both"/>
              <w:rPr>
                <w:rFonts w:eastAsia="Times New Roman"/>
              </w:rPr>
            </w:pPr>
            <w:r w:rsidRPr="00350FE5">
              <w:rPr>
                <w:rFonts w:eastAsia="Times New Roman"/>
              </w:rPr>
              <w:t>0</w:t>
            </w:r>
          </w:p>
        </w:tc>
        <w:tc>
          <w:tcPr>
            <w:tcW w:w="529" w:type="pct"/>
            <w:tcBorders>
              <w:top w:val="single" w:sz="4" w:space="0" w:color="9BC2E6"/>
              <w:left w:val="nil"/>
              <w:bottom w:val="single" w:sz="4" w:space="0" w:color="9BC2E6"/>
              <w:right w:val="single" w:sz="4" w:space="0" w:color="9BC2E6"/>
            </w:tcBorders>
            <w:shd w:val="clear" w:color="DDEBF7" w:fill="DDEBF7"/>
            <w:noWrap/>
            <w:vAlign w:val="bottom"/>
            <w:hideMark/>
          </w:tcPr>
          <w:p w:rsidR="006F7FDE" w:rsidRPr="00350FE5" w:rsidRDefault="006F7FDE" w:rsidP="009B4300">
            <w:pPr>
              <w:spacing w:after="0" w:line="276" w:lineRule="auto"/>
              <w:contextualSpacing/>
              <w:jc w:val="both"/>
              <w:rPr>
                <w:rFonts w:eastAsia="Times New Roman"/>
              </w:rPr>
            </w:pPr>
            <w:r w:rsidRPr="00350FE5">
              <w:rPr>
                <w:rFonts w:eastAsia="Times New Roman"/>
              </w:rPr>
              <w:t>0.8</w:t>
            </w:r>
          </w:p>
        </w:tc>
      </w:tr>
      <w:tr w:rsidR="006F7FDE" w:rsidRPr="00350FE5" w:rsidTr="0064112C">
        <w:trPr>
          <w:trHeight w:val="300"/>
        </w:trPr>
        <w:tc>
          <w:tcPr>
            <w:tcW w:w="2849" w:type="pct"/>
            <w:tcBorders>
              <w:top w:val="single" w:sz="4" w:space="0" w:color="9BC2E6"/>
              <w:left w:val="single" w:sz="4" w:space="0" w:color="9BC2E6"/>
              <w:bottom w:val="single" w:sz="4" w:space="0" w:color="9BC2E6"/>
              <w:right w:val="nil"/>
            </w:tcBorders>
            <w:shd w:val="clear" w:color="auto" w:fill="auto"/>
            <w:noWrap/>
            <w:vAlign w:val="bottom"/>
            <w:hideMark/>
          </w:tcPr>
          <w:p w:rsidR="006F7FDE" w:rsidRPr="00350FE5" w:rsidRDefault="006F7FDE" w:rsidP="009B4300">
            <w:pPr>
              <w:spacing w:after="0" w:line="276" w:lineRule="auto"/>
              <w:contextualSpacing/>
              <w:jc w:val="both"/>
              <w:rPr>
                <w:rFonts w:eastAsia="Times New Roman"/>
              </w:rPr>
            </w:pPr>
            <w:r w:rsidRPr="00350FE5">
              <w:rPr>
                <w:rFonts w:eastAsia="Times New Roman"/>
              </w:rPr>
              <w:t>4. Production of Vermicomposting</w:t>
            </w:r>
          </w:p>
        </w:tc>
        <w:tc>
          <w:tcPr>
            <w:tcW w:w="563" w:type="pct"/>
            <w:tcBorders>
              <w:top w:val="single" w:sz="4" w:space="0" w:color="9BC2E6"/>
              <w:left w:val="nil"/>
              <w:bottom w:val="single" w:sz="4" w:space="0" w:color="9BC2E6"/>
              <w:right w:val="nil"/>
            </w:tcBorders>
            <w:shd w:val="clear" w:color="auto" w:fill="auto"/>
            <w:noWrap/>
            <w:vAlign w:val="bottom"/>
            <w:hideMark/>
          </w:tcPr>
          <w:p w:rsidR="006F7FDE" w:rsidRPr="00350FE5" w:rsidRDefault="006F7FDE" w:rsidP="009B4300">
            <w:pPr>
              <w:spacing w:after="0" w:line="276" w:lineRule="auto"/>
              <w:contextualSpacing/>
              <w:jc w:val="both"/>
              <w:rPr>
                <w:rFonts w:eastAsia="Times New Roman"/>
              </w:rPr>
            </w:pPr>
            <w:r w:rsidRPr="00350FE5">
              <w:rPr>
                <w:rFonts w:eastAsia="Times New Roman"/>
              </w:rPr>
              <w:t>0</w:t>
            </w:r>
          </w:p>
        </w:tc>
        <w:tc>
          <w:tcPr>
            <w:tcW w:w="529" w:type="pct"/>
            <w:tcBorders>
              <w:top w:val="single" w:sz="4" w:space="0" w:color="9BC2E6"/>
              <w:left w:val="nil"/>
              <w:bottom w:val="single" w:sz="4" w:space="0" w:color="9BC2E6"/>
              <w:right w:val="nil"/>
            </w:tcBorders>
            <w:shd w:val="clear" w:color="auto" w:fill="auto"/>
            <w:noWrap/>
            <w:vAlign w:val="bottom"/>
            <w:hideMark/>
          </w:tcPr>
          <w:p w:rsidR="006F7FDE" w:rsidRPr="00350FE5" w:rsidRDefault="006F7FDE" w:rsidP="009B4300">
            <w:pPr>
              <w:spacing w:after="0" w:line="276" w:lineRule="auto"/>
              <w:contextualSpacing/>
              <w:jc w:val="both"/>
              <w:rPr>
                <w:rFonts w:eastAsia="Times New Roman"/>
              </w:rPr>
            </w:pPr>
            <w:r w:rsidRPr="00350FE5">
              <w:rPr>
                <w:rFonts w:eastAsia="Times New Roman"/>
              </w:rPr>
              <w:t>0</w:t>
            </w:r>
          </w:p>
        </w:tc>
        <w:tc>
          <w:tcPr>
            <w:tcW w:w="529" w:type="pct"/>
            <w:tcBorders>
              <w:top w:val="single" w:sz="4" w:space="0" w:color="9BC2E6"/>
              <w:left w:val="nil"/>
              <w:bottom w:val="single" w:sz="4" w:space="0" w:color="9BC2E6"/>
              <w:right w:val="nil"/>
            </w:tcBorders>
            <w:shd w:val="clear" w:color="auto" w:fill="auto"/>
            <w:noWrap/>
            <w:vAlign w:val="bottom"/>
            <w:hideMark/>
          </w:tcPr>
          <w:p w:rsidR="006F7FDE" w:rsidRPr="00350FE5" w:rsidRDefault="006F7FDE" w:rsidP="009B4300">
            <w:pPr>
              <w:spacing w:after="0" w:line="276" w:lineRule="auto"/>
              <w:contextualSpacing/>
              <w:jc w:val="both"/>
              <w:rPr>
                <w:rFonts w:eastAsia="Times New Roman"/>
              </w:rPr>
            </w:pPr>
            <w:r w:rsidRPr="00350FE5">
              <w:rPr>
                <w:rFonts w:eastAsia="Times New Roman"/>
              </w:rPr>
              <w:t>0.94</w:t>
            </w:r>
          </w:p>
        </w:tc>
        <w:tc>
          <w:tcPr>
            <w:tcW w:w="529" w:type="pct"/>
            <w:tcBorders>
              <w:top w:val="single" w:sz="4" w:space="0" w:color="9BC2E6"/>
              <w:left w:val="nil"/>
              <w:bottom w:val="single" w:sz="4" w:space="0" w:color="9BC2E6"/>
              <w:right w:val="single" w:sz="4" w:space="0" w:color="9BC2E6"/>
            </w:tcBorders>
            <w:shd w:val="clear" w:color="auto" w:fill="auto"/>
            <w:noWrap/>
            <w:vAlign w:val="bottom"/>
            <w:hideMark/>
          </w:tcPr>
          <w:p w:rsidR="006F7FDE" w:rsidRPr="00350FE5" w:rsidRDefault="006F7FDE" w:rsidP="009B4300">
            <w:pPr>
              <w:spacing w:after="0" w:line="276" w:lineRule="auto"/>
              <w:contextualSpacing/>
              <w:jc w:val="both"/>
              <w:rPr>
                <w:rFonts w:eastAsia="Times New Roman"/>
              </w:rPr>
            </w:pPr>
            <w:r w:rsidRPr="00350FE5">
              <w:rPr>
                <w:rFonts w:eastAsia="Times New Roman"/>
              </w:rPr>
              <w:t>1.74</w:t>
            </w:r>
          </w:p>
        </w:tc>
      </w:tr>
      <w:tr w:rsidR="006F7FDE" w:rsidRPr="00350FE5" w:rsidTr="0064112C">
        <w:trPr>
          <w:trHeight w:val="300"/>
        </w:trPr>
        <w:tc>
          <w:tcPr>
            <w:tcW w:w="2849" w:type="pct"/>
            <w:tcBorders>
              <w:top w:val="single" w:sz="4" w:space="0" w:color="9BC2E6"/>
              <w:left w:val="single" w:sz="4" w:space="0" w:color="9BC2E6"/>
              <w:bottom w:val="single" w:sz="4" w:space="0" w:color="9BC2E6"/>
              <w:right w:val="nil"/>
            </w:tcBorders>
            <w:shd w:val="clear" w:color="DDEBF7" w:fill="DDEBF7"/>
            <w:noWrap/>
            <w:vAlign w:val="bottom"/>
            <w:hideMark/>
          </w:tcPr>
          <w:p w:rsidR="006F7FDE" w:rsidRPr="00350FE5" w:rsidRDefault="006F7FDE" w:rsidP="009B4300">
            <w:pPr>
              <w:spacing w:after="0" w:line="276" w:lineRule="auto"/>
              <w:contextualSpacing/>
              <w:jc w:val="both"/>
              <w:rPr>
                <w:rFonts w:eastAsia="Times New Roman"/>
              </w:rPr>
            </w:pPr>
            <w:r w:rsidRPr="00350FE5">
              <w:rPr>
                <w:rFonts w:eastAsia="Times New Roman"/>
              </w:rPr>
              <w:t>5. Establishment of Certified Green Building</w:t>
            </w:r>
          </w:p>
        </w:tc>
        <w:tc>
          <w:tcPr>
            <w:tcW w:w="563" w:type="pct"/>
            <w:tcBorders>
              <w:top w:val="single" w:sz="4" w:space="0" w:color="9BC2E6"/>
              <w:left w:val="nil"/>
              <w:bottom w:val="single" w:sz="4" w:space="0" w:color="9BC2E6"/>
              <w:right w:val="nil"/>
            </w:tcBorders>
            <w:shd w:val="clear" w:color="DDEBF7" w:fill="DDEBF7"/>
            <w:noWrap/>
            <w:vAlign w:val="bottom"/>
            <w:hideMark/>
          </w:tcPr>
          <w:p w:rsidR="006F7FDE" w:rsidRPr="00350FE5" w:rsidRDefault="006F7FDE" w:rsidP="009B4300">
            <w:pPr>
              <w:spacing w:after="0" w:line="276" w:lineRule="auto"/>
              <w:contextualSpacing/>
              <w:jc w:val="both"/>
              <w:rPr>
                <w:rFonts w:eastAsia="Times New Roman"/>
              </w:rPr>
            </w:pPr>
            <w:r w:rsidRPr="00350FE5">
              <w:rPr>
                <w:rFonts w:eastAsia="Times New Roman"/>
              </w:rPr>
              <w:t>255</w:t>
            </w:r>
          </w:p>
        </w:tc>
        <w:tc>
          <w:tcPr>
            <w:tcW w:w="529" w:type="pct"/>
            <w:tcBorders>
              <w:top w:val="single" w:sz="4" w:space="0" w:color="9BC2E6"/>
              <w:left w:val="nil"/>
              <w:bottom w:val="single" w:sz="4" w:space="0" w:color="9BC2E6"/>
              <w:right w:val="nil"/>
            </w:tcBorders>
            <w:shd w:val="clear" w:color="DDEBF7" w:fill="DDEBF7"/>
            <w:noWrap/>
            <w:vAlign w:val="bottom"/>
            <w:hideMark/>
          </w:tcPr>
          <w:p w:rsidR="006F7FDE" w:rsidRPr="00350FE5" w:rsidRDefault="006F7FDE" w:rsidP="009B4300">
            <w:pPr>
              <w:spacing w:after="0" w:line="276" w:lineRule="auto"/>
              <w:contextualSpacing/>
              <w:jc w:val="both"/>
              <w:rPr>
                <w:rFonts w:eastAsia="Times New Roman"/>
              </w:rPr>
            </w:pPr>
            <w:r w:rsidRPr="00350FE5">
              <w:rPr>
                <w:rFonts w:eastAsia="Times New Roman"/>
              </w:rPr>
              <w:t>0</w:t>
            </w:r>
          </w:p>
        </w:tc>
        <w:tc>
          <w:tcPr>
            <w:tcW w:w="529" w:type="pct"/>
            <w:tcBorders>
              <w:top w:val="single" w:sz="4" w:space="0" w:color="9BC2E6"/>
              <w:left w:val="nil"/>
              <w:bottom w:val="single" w:sz="4" w:space="0" w:color="9BC2E6"/>
              <w:right w:val="nil"/>
            </w:tcBorders>
            <w:shd w:val="clear" w:color="DDEBF7" w:fill="DDEBF7"/>
            <w:noWrap/>
            <w:vAlign w:val="bottom"/>
            <w:hideMark/>
          </w:tcPr>
          <w:p w:rsidR="006F7FDE" w:rsidRPr="00350FE5" w:rsidRDefault="006F7FDE" w:rsidP="009B4300">
            <w:pPr>
              <w:spacing w:after="0" w:line="276" w:lineRule="auto"/>
              <w:contextualSpacing/>
              <w:jc w:val="both"/>
              <w:rPr>
                <w:rFonts w:eastAsia="Times New Roman"/>
              </w:rPr>
            </w:pPr>
            <w:r w:rsidRPr="00350FE5">
              <w:rPr>
                <w:rFonts w:eastAsia="Times New Roman"/>
              </w:rPr>
              <w:t>0</w:t>
            </w:r>
          </w:p>
        </w:tc>
        <w:tc>
          <w:tcPr>
            <w:tcW w:w="529" w:type="pct"/>
            <w:tcBorders>
              <w:top w:val="single" w:sz="4" w:space="0" w:color="9BC2E6"/>
              <w:left w:val="nil"/>
              <w:bottom w:val="single" w:sz="4" w:space="0" w:color="9BC2E6"/>
              <w:right w:val="single" w:sz="4" w:space="0" w:color="9BC2E6"/>
            </w:tcBorders>
            <w:shd w:val="clear" w:color="DDEBF7" w:fill="DDEBF7"/>
            <w:noWrap/>
            <w:vAlign w:val="bottom"/>
            <w:hideMark/>
          </w:tcPr>
          <w:p w:rsidR="006F7FDE" w:rsidRPr="00350FE5" w:rsidRDefault="006F7FDE" w:rsidP="009B4300">
            <w:pPr>
              <w:spacing w:after="0" w:line="276" w:lineRule="auto"/>
              <w:contextualSpacing/>
              <w:jc w:val="both"/>
              <w:rPr>
                <w:rFonts w:eastAsia="Times New Roman"/>
              </w:rPr>
            </w:pPr>
            <w:r w:rsidRPr="00350FE5">
              <w:rPr>
                <w:rFonts w:eastAsia="Times New Roman"/>
              </w:rPr>
              <w:t>0</w:t>
            </w:r>
          </w:p>
        </w:tc>
      </w:tr>
      <w:tr w:rsidR="006F7FDE" w:rsidRPr="00350FE5" w:rsidTr="0064112C">
        <w:trPr>
          <w:trHeight w:val="300"/>
        </w:trPr>
        <w:tc>
          <w:tcPr>
            <w:tcW w:w="2849" w:type="pct"/>
            <w:tcBorders>
              <w:top w:val="single" w:sz="4" w:space="0" w:color="9BC2E6"/>
              <w:left w:val="single" w:sz="4" w:space="0" w:color="9BC2E6"/>
              <w:bottom w:val="single" w:sz="4" w:space="0" w:color="9BC2E6"/>
              <w:right w:val="nil"/>
            </w:tcBorders>
            <w:shd w:val="clear" w:color="auto" w:fill="auto"/>
            <w:noWrap/>
            <w:vAlign w:val="bottom"/>
            <w:hideMark/>
          </w:tcPr>
          <w:p w:rsidR="006F7FDE" w:rsidRPr="00350FE5" w:rsidRDefault="006F7FDE" w:rsidP="009B4300">
            <w:pPr>
              <w:spacing w:after="0" w:line="276" w:lineRule="auto"/>
              <w:contextualSpacing/>
              <w:jc w:val="both"/>
              <w:rPr>
                <w:rFonts w:eastAsia="Times New Roman"/>
              </w:rPr>
            </w:pPr>
            <w:r w:rsidRPr="00350FE5">
              <w:rPr>
                <w:rFonts w:eastAsia="Times New Roman"/>
              </w:rPr>
              <w:t xml:space="preserve">6. Safety and working Environment of Factory related </w:t>
            </w:r>
          </w:p>
        </w:tc>
        <w:tc>
          <w:tcPr>
            <w:tcW w:w="563" w:type="pct"/>
            <w:tcBorders>
              <w:top w:val="single" w:sz="4" w:space="0" w:color="9BC2E6"/>
              <w:left w:val="nil"/>
              <w:bottom w:val="single" w:sz="4" w:space="0" w:color="9BC2E6"/>
              <w:right w:val="nil"/>
            </w:tcBorders>
            <w:shd w:val="clear" w:color="auto" w:fill="auto"/>
            <w:noWrap/>
            <w:vAlign w:val="bottom"/>
            <w:hideMark/>
          </w:tcPr>
          <w:p w:rsidR="006F7FDE" w:rsidRPr="00350FE5" w:rsidRDefault="006F7FDE" w:rsidP="009B4300">
            <w:pPr>
              <w:spacing w:after="0" w:line="276" w:lineRule="auto"/>
              <w:contextualSpacing/>
              <w:jc w:val="both"/>
              <w:rPr>
                <w:rFonts w:eastAsia="Times New Roman"/>
              </w:rPr>
            </w:pPr>
            <w:r w:rsidRPr="00350FE5">
              <w:rPr>
                <w:rFonts w:eastAsia="Times New Roman"/>
              </w:rPr>
              <w:t>7.03</w:t>
            </w:r>
          </w:p>
        </w:tc>
        <w:tc>
          <w:tcPr>
            <w:tcW w:w="529" w:type="pct"/>
            <w:tcBorders>
              <w:top w:val="single" w:sz="4" w:space="0" w:color="9BC2E6"/>
              <w:left w:val="nil"/>
              <w:bottom w:val="single" w:sz="4" w:space="0" w:color="9BC2E6"/>
              <w:right w:val="nil"/>
            </w:tcBorders>
            <w:shd w:val="clear" w:color="auto" w:fill="auto"/>
            <w:noWrap/>
            <w:vAlign w:val="bottom"/>
            <w:hideMark/>
          </w:tcPr>
          <w:p w:rsidR="006F7FDE" w:rsidRPr="00350FE5" w:rsidRDefault="006F7FDE" w:rsidP="009B4300">
            <w:pPr>
              <w:spacing w:after="0" w:line="276" w:lineRule="auto"/>
              <w:contextualSpacing/>
              <w:jc w:val="both"/>
              <w:rPr>
                <w:rFonts w:eastAsia="Times New Roman"/>
              </w:rPr>
            </w:pPr>
            <w:r w:rsidRPr="00350FE5">
              <w:rPr>
                <w:rFonts w:eastAsia="Times New Roman"/>
              </w:rPr>
              <w:t>16.08</w:t>
            </w:r>
          </w:p>
        </w:tc>
        <w:tc>
          <w:tcPr>
            <w:tcW w:w="529" w:type="pct"/>
            <w:tcBorders>
              <w:top w:val="single" w:sz="4" w:space="0" w:color="9BC2E6"/>
              <w:left w:val="nil"/>
              <w:bottom w:val="single" w:sz="4" w:space="0" w:color="9BC2E6"/>
              <w:right w:val="nil"/>
            </w:tcBorders>
            <w:shd w:val="clear" w:color="auto" w:fill="auto"/>
            <w:noWrap/>
            <w:vAlign w:val="bottom"/>
            <w:hideMark/>
          </w:tcPr>
          <w:p w:rsidR="006F7FDE" w:rsidRPr="00350FE5" w:rsidRDefault="006F7FDE" w:rsidP="009B4300">
            <w:pPr>
              <w:spacing w:after="0" w:line="276" w:lineRule="auto"/>
              <w:contextualSpacing/>
              <w:jc w:val="both"/>
              <w:rPr>
                <w:rFonts w:eastAsia="Times New Roman"/>
              </w:rPr>
            </w:pPr>
            <w:r w:rsidRPr="00350FE5">
              <w:rPr>
                <w:rFonts w:eastAsia="Times New Roman"/>
              </w:rPr>
              <w:t>7.03</w:t>
            </w:r>
          </w:p>
        </w:tc>
        <w:tc>
          <w:tcPr>
            <w:tcW w:w="529" w:type="pct"/>
            <w:tcBorders>
              <w:top w:val="single" w:sz="4" w:space="0" w:color="9BC2E6"/>
              <w:left w:val="nil"/>
              <w:bottom w:val="single" w:sz="4" w:space="0" w:color="9BC2E6"/>
              <w:right w:val="single" w:sz="4" w:space="0" w:color="9BC2E6"/>
            </w:tcBorders>
            <w:shd w:val="clear" w:color="auto" w:fill="auto"/>
            <w:noWrap/>
            <w:vAlign w:val="bottom"/>
            <w:hideMark/>
          </w:tcPr>
          <w:p w:rsidR="006F7FDE" w:rsidRPr="00350FE5" w:rsidRDefault="006F7FDE" w:rsidP="009B4300">
            <w:pPr>
              <w:spacing w:after="0" w:line="276" w:lineRule="auto"/>
              <w:contextualSpacing/>
              <w:jc w:val="both"/>
              <w:rPr>
                <w:rFonts w:eastAsia="Times New Roman"/>
              </w:rPr>
            </w:pPr>
            <w:r w:rsidRPr="00350FE5">
              <w:rPr>
                <w:rFonts w:eastAsia="Times New Roman"/>
              </w:rPr>
              <w:t>8.8</w:t>
            </w:r>
          </w:p>
        </w:tc>
      </w:tr>
      <w:tr w:rsidR="006F7FDE" w:rsidRPr="00350FE5" w:rsidTr="0064112C">
        <w:trPr>
          <w:trHeight w:val="300"/>
        </w:trPr>
        <w:tc>
          <w:tcPr>
            <w:tcW w:w="2849" w:type="pct"/>
            <w:tcBorders>
              <w:top w:val="single" w:sz="4" w:space="0" w:color="9BC2E6"/>
              <w:left w:val="single" w:sz="4" w:space="0" w:color="9BC2E6"/>
              <w:bottom w:val="single" w:sz="4" w:space="0" w:color="9BC2E6"/>
              <w:right w:val="nil"/>
            </w:tcBorders>
            <w:shd w:val="clear" w:color="DDEBF7" w:fill="DDEBF7"/>
            <w:noWrap/>
            <w:vAlign w:val="bottom"/>
            <w:hideMark/>
          </w:tcPr>
          <w:p w:rsidR="006F7FDE" w:rsidRPr="00350FE5" w:rsidRDefault="006F7FDE" w:rsidP="009B4300">
            <w:pPr>
              <w:spacing w:after="0" w:line="276" w:lineRule="auto"/>
              <w:contextualSpacing/>
              <w:jc w:val="both"/>
              <w:rPr>
                <w:rFonts w:eastAsia="Times New Roman"/>
              </w:rPr>
            </w:pPr>
            <w:r w:rsidRPr="00350FE5">
              <w:rPr>
                <w:rFonts w:eastAsia="Times New Roman"/>
              </w:rPr>
              <w:t>7. Combination of Biological and Chemical ETP</w:t>
            </w:r>
          </w:p>
        </w:tc>
        <w:tc>
          <w:tcPr>
            <w:tcW w:w="563" w:type="pct"/>
            <w:tcBorders>
              <w:top w:val="single" w:sz="4" w:space="0" w:color="9BC2E6"/>
              <w:left w:val="nil"/>
              <w:bottom w:val="single" w:sz="4" w:space="0" w:color="9BC2E6"/>
              <w:right w:val="nil"/>
            </w:tcBorders>
            <w:shd w:val="clear" w:color="DDEBF7" w:fill="DDEBF7"/>
            <w:noWrap/>
            <w:vAlign w:val="bottom"/>
            <w:hideMark/>
          </w:tcPr>
          <w:p w:rsidR="006F7FDE" w:rsidRPr="00350FE5" w:rsidRDefault="006F7FDE" w:rsidP="009B4300">
            <w:pPr>
              <w:spacing w:after="0" w:line="276" w:lineRule="auto"/>
              <w:contextualSpacing/>
              <w:jc w:val="both"/>
              <w:rPr>
                <w:rFonts w:eastAsia="Times New Roman"/>
              </w:rPr>
            </w:pPr>
            <w:r w:rsidRPr="00350FE5">
              <w:rPr>
                <w:rFonts w:eastAsia="Times New Roman"/>
              </w:rPr>
              <w:t>0</w:t>
            </w:r>
          </w:p>
        </w:tc>
        <w:tc>
          <w:tcPr>
            <w:tcW w:w="529" w:type="pct"/>
            <w:tcBorders>
              <w:top w:val="single" w:sz="4" w:space="0" w:color="9BC2E6"/>
              <w:left w:val="nil"/>
              <w:bottom w:val="single" w:sz="4" w:space="0" w:color="9BC2E6"/>
              <w:right w:val="nil"/>
            </w:tcBorders>
            <w:shd w:val="clear" w:color="DDEBF7" w:fill="DDEBF7"/>
            <w:noWrap/>
            <w:vAlign w:val="bottom"/>
            <w:hideMark/>
          </w:tcPr>
          <w:p w:rsidR="006F7FDE" w:rsidRPr="00350FE5" w:rsidRDefault="006F7FDE" w:rsidP="009B4300">
            <w:pPr>
              <w:spacing w:after="0" w:line="276" w:lineRule="auto"/>
              <w:contextualSpacing/>
              <w:jc w:val="both"/>
              <w:rPr>
                <w:rFonts w:eastAsia="Times New Roman"/>
              </w:rPr>
            </w:pPr>
            <w:r w:rsidRPr="00350FE5">
              <w:rPr>
                <w:rFonts w:eastAsia="Times New Roman"/>
              </w:rPr>
              <w:t>7.1</w:t>
            </w:r>
          </w:p>
        </w:tc>
        <w:tc>
          <w:tcPr>
            <w:tcW w:w="529" w:type="pct"/>
            <w:tcBorders>
              <w:top w:val="single" w:sz="4" w:space="0" w:color="9BC2E6"/>
              <w:left w:val="nil"/>
              <w:bottom w:val="single" w:sz="4" w:space="0" w:color="9BC2E6"/>
              <w:right w:val="nil"/>
            </w:tcBorders>
            <w:shd w:val="clear" w:color="DDEBF7" w:fill="DDEBF7"/>
            <w:noWrap/>
            <w:vAlign w:val="bottom"/>
            <w:hideMark/>
          </w:tcPr>
          <w:p w:rsidR="006F7FDE" w:rsidRPr="00350FE5" w:rsidRDefault="006F7FDE" w:rsidP="009B4300">
            <w:pPr>
              <w:spacing w:after="0" w:line="276" w:lineRule="auto"/>
              <w:contextualSpacing/>
              <w:jc w:val="both"/>
              <w:rPr>
                <w:rFonts w:eastAsia="Times New Roman"/>
              </w:rPr>
            </w:pPr>
            <w:r w:rsidRPr="00350FE5">
              <w:rPr>
                <w:rFonts w:eastAsia="Times New Roman"/>
              </w:rPr>
              <w:t>14.13</w:t>
            </w:r>
          </w:p>
        </w:tc>
        <w:tc>
          <w:tcPr>
            <w:tcW w:w="529" w:type="pct"/>
            <w:tcBorders>
              <w:top w:val="single" w:sz="4" w:space="0" w:color="9BC2E6"/>
              <w:left w:val="nil"/>
              <w:bottom w:val="single" w:sz="4" w:space="0" w:color="9BC2E6"/>
              <w:right w:val="single" w:sz="4" w:space="0" w:color="9BC2E6"/>
            </w:tcBorders>
            <w:shd w:val="clear" w:color="DDEBF7" w:fill="DDEBF7"/>
            <w:noWrap/>
            <w:vAlign w:val="bottom"/>
            <w:hideMark/>
          </w:tcPr>
          <w:p w:rsidR="006F7FDE" w:rsidRPr="00350FE5" w:rsidRDefault="006F7FDE" w:rsidP="009B4300">
            <w:pPr>
              <w:spacing w:after="0" w:line="276" w:lineRule="auto"/>
              <w:contextualSpacing/>
              <w:jc w:val="both"/>
              <w:rPr>
                <w:rFonts w:eastAsia="Times New Roman"/>
              </w:rPr>
            </w:pPr>
            <w:r w:rsidRPr="00350FE5">
              <w:rPr>
                <w:rFonts w:eastAsia="Times New Roman"/>
              </w:rPr>
              <w:t>4.47</w:t>
            </w:r>
          </w:p>
        </w:tc>
      </w:tr>
      <w:tr w:rsidR="006F7FDE" w:rsidRPr="00350FE5" w:rsidTr="0064112C">
        <w:trPr>
          <w:trHeight w:val="300"/>
        </w:trPr>
        <w:tc>
          <w:tcPr>
            <w:tcW w:w="2849" w:type="pct"/>
            <w:tcBorders>
              <w:top w:val="single" w:sz="4" w:space="0" w:color="9BC2E6"/>
              <w:left w:val="single" w:sz="4" w:space="0" w:color="9BC2E6"/>
              <w:bottom w:val="single" w:sz="4" w:space="0" w:color="9BC2E6"/>
              <w:right w:val="nil"/>
            </w:tcBorders>
            <w:shd w:val="clear" w:color="auto" w:fill="auto"/>
            <w:noWrap/>
            <w:vAlign w:val="bottom"/>
            <w:hideMark/>
          </w:tcPr>
          <w:p w:rsidR="006F7FDE" w:rsidRPr="00350FE5" w:rsidRDefault="006F7FDE" w:rsidP="009B4300">
            <w:pPr>
              <w:spacing w:after="0" w:line="276" w:lineRule="auto"/>
              <w:contextualSpacing/>
              <w:jc w:val="both"/>
              <w:rPr>
                <w:rFonts w:eastAsia="Times New Roman"/>
              </w:rPr>
            </w:pPr>
            <w:r w:rsidRPr="00350FE5">
              <w:rPr>
                <w:rFonts w:eastAsia="Times New Roman"/>
              </w:rPr>
              <w:t>8. Foam Concrete Brick</w:t>
            </w:r>
          </w:p>
        </w:tc>
        <w:tc>
          <w:tcPr>
            <w:tcW w:w="563" w:type="pct"/>
            <w:tcBorders>
              <w:top w:val="single" w:sz="4" w:space="0" w:color="9BC2E6"/>
              <w:left w:val="nil"/>
              <w:bottom w:val="single" w:sz="4" w:space="0" w:color="9BC2E6"/>
              <w:right w:val="nil"/>
            </w:tcBorders>
            <w:shd w:val="clear" w:color="auto" w:fill="auto"/>
            <w:noWrap/>
            <w:vAlign w:val="bottom"/>
            <w:hideMark/>
          </w:tcPr>
          <w:p w:rsidR="006F7FDE" w:rsidRPr="00350FE5" w:rsidRDefault="006F7FDE" w:rsidP="009B4300">
            <w:pPr>
              <w:spacing w:after="0" w:line="276" w:lineRule="auto"/>
              <w:contextualSpacing/>
              <w:jc w:val="both"/>
              <w:rPr>
                <w:rFonts w:eastAsia="Times New Roman"/>
              </w:rPr>
            </w:pPr>
            <w:r w:rsidRPr="00350FE5">
              <w:rPr>
                <w:rFonts w:eastAsia="Times New Roman"/>
              </w:rPr>
              <w:t>0</w:t>
            </w:r>
          </w:p>
        </w:tc>
        <w:tc>
          <w:tcPr>
            <w:tcW w:w="529" w:type="pct"/>
            <w:tcBorders>
              <w:top w:val="single" w:sz="4" w:space="0" w:color="9BC2E6"/>
              <w:left w:val="nil"/>
              <w:bottom w:val="single" w:sz="4" w:space="0" w:color="9BC2E6"/>
              <w:right w:val="nil"/>
            </w:tcBorders>
            <w:shd w:val="clear" w:color="auto" w:fill="auto"/>
            <w:noWrap/>
            <w:vAlign w:val="bottom"/>
            <w:hideMark/>
          </w:tcPr>
          <w:p w:rsidR="006F7FDE" w:rsidRPr="00350FE5" w:rsidRDefault="006F7FDE" w:rsidP="009B4300">
            <w:pPr>
              <w:spacing w:after="0" w:line="276" w:lineRule="auto"/>
              <w:contextualSpacing/>
              <w:jc w:val="both"/>
              <w:rPr>
                <w:rFonts w:eastAsia="Times New Roman"/>
              </w:rPr>
            </w:pPr>
            <w:r w:rsidRPr="00350FE5">
              <w:rPr>
                <w:rFonts w:eastAsia="Times New Roman"/>
              </w:rPr>
              <w:t>150</w:t>
            </w:r>
          </w:p>
        </w:tc>
        <w:tc>
          <w:tcPr>
            <w:tcW w:w="529" w:type="pct"/>
            <w:tcBorders>
              <w:top w:val="single" w:sz="4" w:space="0" w:color="9BC2E6"/>
              <w:left w:val="nil"/>
              <w:bottom w:val="single" w:sz="4" w:space="0" w:color="9BC2E6"/>
              <w:right w:val="nil"/>
            </w:tcBorders>
            <w:shd w:val="clear" w:color="auto" w:fill="auto"/>
            <w:noWrap/>
            <w:vAlign w:val="bottom"/>
            <w:hideMark/>
          </w:tcPr>
          <w:p w:rsidR="006F7FDE" w:rsidRPr="00350FE5" w:rsidRDefault="006F7FDE" w:rsidP="009B4300">
            <w:pPr>
              <w:spacing w:after="0" w:line="276" w:lineRule="auto"/>
              <w:contextualSpacing/>
              <w:jc w:val="both"/>
              <w:rPr>
                <w:rFonts w:eastAsia="Times New Roman"/>
              </w:rPr>
            </w:pPr>
            <w:r w:rsidRPr="00350FE5">
              <w:rPr>
                <w:rFonts w:eastAsia="Times New Roman"/>
              </w:rPr>
              <w:t>0</w:t>
            </w:r>
          </w:p>
        </w:tc>
        <w:tc>
          <w:tcPr>
            <w:tcW w:w="529" w:type="pct"/>
            <w:tcBorders>
              <w:top w:val="single" w:sz="4" w:space="0" w:color="9BC2E6"/>
              <w:left w:val="nil"/>
              <w:bottom w:val="single" w:sz="4" w:space="0" w:color="9BC2E6"/>
              <w:right w:val="single" w:sz="4" w:space="0" w:color="9BC2E6"/>
            </w:tcBorders>
            <w:shd w:val="clear" w:color="auto" w:fill="auto"/>
            <w:noWrap/>
            <w:vAlign w:val="bottom"/>
            <w:hideMark/>
          </w:tcPr>
          <w:p w:rsidR="006F7FDE" w:rsidRPr="00350FE5" w:rsidRDefault="006F7FDE" w:rsidP="009B4300">
            <w:pPr>
              <w:spacing w:after="0" w:line="276" w:lineRule="auto"/>
              <w:contextualSpacing/>
              <w:jc w:val="both"/>
              <w:rPr>
                <w:rFonts w:eastAsia="Times New Roman"/>
              </w:rPr>
            </w:pPr>
            <w:r w:rsidRPr="00350FE5">
              <w:rPr>
                <w:rFonts w:eastAsia="Times New Roman"/>
              </w:rPr>
              <w:t>0</w:t>
            </w:r>
          </w:p>
        </w:tc>
      </w:tr>
      <w:tr w:rsidR="006F7FDE" w:rsidRPr="00350FE5" w:rsidTr="0064112C">
        <w:trPr>
          <w:trHeight w:val="300"/>
        </w:trPr>
        <w:tc>
          <w:tcPr>
            <w:tcW w:w="2849" w:type="pct"/>
            <w:tcBorders>
              <w:top w:val="single" w:sz="4" w:space="0" w:color="9BC2E6"/>
              <w:left w:val="single" w:sz="4" w:space="0" w:color="9BC2E6"/>
              <w:bottom w:val="single" w:sz="4" w:space="0" w:color="9BC2E6"/>
              <w:right w:val="nil"/>
            </w:tcBorders>
            <w:shd w:val="clear" w:color="DDEBF7" w:fill="DDEBF7"/>
            <w:noWrap/>
            <w:vAlign w:val="bottom"/>
            <w:hideMark/>
          </w:tcPr>
          <w:p w:rsidR="006F7FDE" w:rsidRPr="00350FE5" w:rsidRDefault="006F7FDE" w:rsidP="009B4300">
            <w:pPr>
              <w:spacing w:after="0" w:line="276" w:lineRule="auto"/>
              <w:contextualSpacing/>
              <w:jc w:val="both"/>
              <w:rPr>
                <w:rFonts w:eastAsia="Times New Roman"/>
              </w:rPr>
            </w:pPr>
            <w:r w:rsidRPr="00350FE5">
              <w:rPr>
                <w:rFonts w:eastAsia="Times New Roman"/>
              </w:rPr>
              <w:t>9. Compressed Block Brick</w:t>
            </w:r>
          </w:p>
        </w:tc>
        <w:tc>
          <w:tcPr>
            <w:tcW w:w="563" w:type="pct"/>
            <w:tcBorders>
              <w:top w:val="single" w:sz="4" w:space="0" w:color="9BC2E6"/>
              <w:left w:val="nil"/>
              <w:bottom w:val="single" w:sz="4" w:space="0" w:color="9BC2E6"/>
              <w:right w:val="nil"/>
            </w:tcBorders>
            <w:shd w:val="clear" w:color="DDEBF7" w:fill="DDEBF7"/>
            <w:noWrap/>
            <w:vAlign w:val="bottom"/>
            <w:hideMark/>
          </w:tcPr>
          <w:p w:rsidR="006F7FDE" w:rsidRPr="00350FE5" w:rsidRDefault="006F7FDE" w:rsidP="009B4300">
            <w:pPr>
              <w:spacing w:after="0" w:line="276" w:lineRule="auto"/>
              <w:contextualSpacing/>
              <w:jc w:val="both"/>
              <w:rPr>
                <w:rFonts w:eastAsia="Times New Roman"/>
              </w:rPr>
            </w:pPr>
            <w:r w:rsidRPr="00350FE5">
              <w:rPr>
                <w:rFonts w:eastAsia="Times New Roman"/>
              </w:rPr>
              <w:t>0</w:t>
            </w:r>
          </w:p>
        </w:tc>
        <w:tc>
          <w:tcPr>
            <w:tcW w:w="529" w:type="pct"/>
            <w:tcBorders>
              <w:top w:val="single" w:sz="4" w:space="0" w:color="9BC2E6"/>
              <w:left w:val="nil"/>
              <w:bottom w:val="single" w:sz="4" w:space="0" w:color="9BC2E6"/>
              <w:right w:val="nil"/>
            </w:tcBorders>
            <w:shd w:val="clear" w:color="DDEBF7" w:fill="DDEBF7"/>
            <w:noWrap/>
            <w:vAlign w:val="bottom"/>
            <w:hideMark/>
          </w:tcPr>
          <w:p w:rsidR="006F7FDE" w:rsidRPr="00350FE5" w:rsidRDefault="006F7FDE" w:rsidP="009B4300">
            <w:pPr>
              <w:spacing w:after="0" w:line="276" w:lineRule="auto"/>
              <w:contextualSpacing/>
              <w:jc w:val="both"/>
              <w:rPr>
                <w:rFonts w:eastAsia="Times New Roman"/>
              </w:rPr>
            </w:pPr>
            <w:r w:rsidRPr="00350FE5">
              <w:rPr>
                <w:rFonts w:eastAsia="Times New Roman"/>
              </w:rPr>
              <w:t>0</w:t>
            </w:r>
          </w:p>
        </w:tc>
        <w:tc>
          <w:tcPr>
            <w:tcW w:w="529" w:type="pct"/>
            <w:tcBorders>
              <w:top w:val="single" w:sz="4" w:space="0" w:color="9BC2E6"/>
              <w:left w:val="nil"/>
              <w:bottom w:val="single" w:sz="4" w:space="0" w:color="9BC2E6"/>
              <w:right w:val="nil"/>
            </w:tcBorders>
            <w:shd w:val="clear" w:color="DDEBF7" w:fill="DDEBF7"/>
            <w:noWrap/>
            <w:vAlign w:val="bottom"/>
            <w:hideMark/>
          </w:tcPr>
          <w:p w:rsidR="006F7FDE" w:rsidRPr="00350FE5" w:rsidRDefault="006F7FDE" w:rsidP="009B4300">
            <w:pPr>
              <w:spacing w:after="0" w:line="276" w:lineRule="auto"/>
              <w:contextualSpacing/>
              <w:jc w:val="both"/>
              <w:rPr>
                <w:rFonts w:eastAsia="Times New Roman"/>
              </w:rPr>
            </w:pPr>
            <w:r w:rsidRPr="00350FE5">
              <w:rPr>
                <w:rFonts w:eastAsia="Times New Roman"/>
              </w:rPr>
              <w:t>0</w:t>
            </w:r>
          </w:p>
        </w:tc>
        <w:tc>
          <w:tcPr>
            <w:tcW w:w="529" w:type="pct"/>
            <w:tcBorders>
              <w:top w:val="single" w:sz="4" w:space="0" w:color="9BC2E6"/>
              <w:left w:val="nil"/>
              <w:bottom w:val="single" w:sz="4" w:space="0" w:color="9BC2E6"/>
              <w:right w:val="single" w:sz="4" w:space="0" w:color="9BC2E6"/>
            </w:tcBorders>
            <w:shd w:val="clear" w:color="DDEBF7" w:fill="DDEBF7"/>
            <w:noWrap/>
            <w:vAlign w:val="bottom"/>
            <w:hideMark/>
          </w:tcPr>
          <w:p w:rsidR="006F7FDE" w:rsidRPr="00350FE5" w:rsidRDefault="006F7FDE" w:rsidP="009B4300">
            <w:pPr>
              <w:spacing w:after="0" w:line="276" w:lineRule="auto"/>
              <w:contextualSpacing/>
              <w:jc w:val="both"/>
              <w:rPr>
                <w:rFonts w:eastAsia="Times New Roman"/>
              </w:rPr>
            </w:pPr>
            <w:r w:rsidRPr="00350FE5">
              <w:rPr>
                <w:rFonts w:eastAsia="Times New Roman"/>
              </w:rPr>
              <w:t>0</w:t>
            </w:r>
          </w:p>
        </w:tc>
      </w:tr>
      <w:tr w:rsidR="006F7FDE" w:rsidRPr="00350FE5" w:rsidTr="0064112C">
        <w:trPr>
          <w:trHeight w:val="300"/>
        </w:trPr>
        <w:tc>
          <w:tcPr>
            <w:tcW w:w="2849" w:type="pct"/>
            <w:tcBorders>
              <w:top w:val="single" w:sz="4" w:space="0" w:color="9BC2E6"/>
              <w:left w:val="single" w:sz="4" w:space="0" w:color="9BC2E6"/>
              <w:bottom w:val="single" w:sz="4" w:space="0" w:color="9BC2E6"/>
              <w:right w:val="nil"/>
            </w:tcBorders>
            <w:shd w:val="clear" w:color="auto" w:fill="auto"/>
            <w:noWrap/>
            <w:vAlign w:val="bottom"/>
            <w:hideMark/>
          </w:tcPr>
          <w:p w:rsidR="006F7FDE" w:rsidRPr="00350FE5" w:rsidRDefault="006F7FDE" w:rsidP="009B4300">
            <w:pPr>
              <w:spacing w:after="0" w:line="276" w:lineRule="auto"/>
              <w:contextualSpacing/>
              <w:jc w:val="both"/>
              <w:rPr>
                <w:rFonts w:eastAsia="Times New Roman"/>
              </w:rPr>
            </w:pPr>
            <w:r w:rsidRPr="00350FE5">
              <w:rPr>
                <w:rFonts w:eastAsia="Times New Roman"/>
              </w:rPr>
              <w:t>10. PET Bottle Recycling Plant</w:t>
            </w:r>
          </w:p>
        </w:tc>
        <w:tc>
          <w:tcPr>
            <w:tcW w:w="563" w:type="pct"/>
            <w:tcBorders>
              <w:top w:val="single" w:sz="4" w:space="0" w:color="9BC2E6"/>
              <w:left w:val="nil"/>
              <w:bottom w:val="single" w:sz="4" w:space="0" w:color="9BC2E6"/>
              <w:right w:val="nil"/>
            </w:tcBorders>
            <w:shd w:val="clear" w:color="auto" w:fill="auto"/>
            <w:noWrap/>
            <w:vAlign w:val="bottom"/>
            <w:hideMark/>
          </w:tcPr>
          <w:p w:rsidR="006F7FDE" w:rsidRPr="00350FE5" w:rsidRDefault="006F7FDE" w:rsidP="009B4300">
            <w:pPr>
              <w:spacing w:after="0" w:line="276" w:lineRule="auto"/>
              <w:contextualSpacing/>
              <w:jc w:val="both"/>
              <w:rPr>
                <w:rFonts w:eastAsia="Times New Roman"/>
              </w:rPr>
            </w:pPr>
            <w:r w:rsidRPr="00350FE5">
              <w:rPr>
                <w:rFonts w:eastAsia="Times New Roman"/>
              </w:rPr>
              <w:t>0</w:t>
            </w:r>
          </w:p>
        </w:tc>
        <w:tc>
          <w:tcPr>
            <w:tcW w:w="529" w:type="pct"/>
            <w:tcBorders>
              <w:top w:val="single" w:sz="4" w:space="0" w:color="9BC2E6"/>
              <w:left w:val="nil"/>
              <w:bottom w:val="single" w:sz="4" w:space="0" w:color="9BC2E6"/>
              <w:right w:val="nil"/>
            </w:tcBorders>
            <w:shd w:val="clear" w:color="auto" w:fill="auto"/>
            <w:noWrap/>
            <w:vAlign w:val="bottom"/>
            <w:hideMark/>
          </w:tcPr>
          <w:p w:rsidR="006F7FDE" w:rsidRPr="00350FE5" w:rsidRDefault="006F7FDE" w:rsidP="009B4300">
            <w:pPr>
              <w:spacing w:after="0" w:line="276" w:lineRule="auto"/>
              <w:contextualSpacing/>
              <w:jc w:val="both"/>
              <w:rPr>
                <w:rFonts w:eastAsia="Times New Roman"/>
              </w:rPr>
            </w:pPr>
            <w:r w:rsidRPr="00350FE5">
              <w:rPr>
                <w:rFonts w:eastAsia="Times New Roman"/>
              </w:rPr>
              <w:t>0</w:t>
            </w:r>
          </w:p>
        </w:tc>
        <w:tc>
          <w:tcPr>
            <w:tcW w:w="529" w:type="pct"/>
            <w:tcBorders>
              <w:top w:val="single" w:sz="4" w:space="0" w:color="9BC2E6"/>
              <w:left w:val="nil"/>
              <w:bottom w:val="single" w:sz="4" w:space="0" w:color="9BC2E6"/>
              <w:right w:val="nil"/>
            </w:tcBorders>
            <w:shd w:val="clear" w:color="auto" w:fill="auto"/>
            <w:noWrap/>
            <w:vAlign w:val="bottom"/>
            <w:hideMark/>
          </w:tcPr>
          <w:p w:rsidR="006F7FDE" w:rsidRPr="00350FE5" w:rsidRDefault="006F7FDE" w:rsidP="009B4300">
            <w:pPr>
              <w:spacing w:after="0" w:line="276" w:lineRule="auto"/>
              <w:contextualSpacing/>
              <w:jc w:val="both"/>
              <w:rPr>
                <w:rFonts w:eastAsia="Times New Roman"/>
              </w:rPr>
            </w:pPr>
            <w:r w:rsidRPr="00350FE5">
              <w:rPr>
                <w:rFonts w:eastAsia="Times New Roman"/>
              </w:rPr>
              <w:t>0</w:t>
            </w:r>
          </w:p>
        </w:tc>
        <w:tc>
          <w:tcPr>
            <w:tcW w:w="529" w:type="pct"/>
            <w:tcBorders>
              <w:top w:val="single" w:sz="4" w:space="0" w:color="9BC2E6"/>
              <w:left w:val="nil"/>
              <w:bottom w:val="single" w:sz="4" w:space="0" w:color="9BC2E6"/>
              <w:right w:val="single" w:sz="4" w:space="0" w:color="9BC2E6"/>
            </w:tcBorders>
            <w:shd w:val="clear" w:color="auto" w:fill="auto"/>
            <w:noWrap/>
            <w:vAlign w:val="bottom"/>
            <w:hideMark/>
          </w:tcPr>
          <w:p w:rsidR="006F7FDE" w:rsidRPr="00350FE5" w:rsidRDefault="006F7FDE" w:rsidP="009B4300">
            <w:pPr>
              <w:spacing w:after="0" w:line="276" w:lineRule="auto"/>
              <w:contextualSpacing/>
              <w:jc w:val="both"/>
              <w:rPr>
                <w:rFonts w:eastAsia="Times New Roman"/>
              </w:rPr>
            </w:pPr>
            <w:r w:rsidRPr="00350FE5">
              <w:rPr>
                <w:rFonts w:eastAsia="Times New Roman"/>
              </w:rPr>
              <w:t>0</w:t>
            </w:r>
          </w:p>
        </w:tc>
      </w:tr>
      <w:tr w:rsidR="006F7FDE" w:rsidRPr="00350FE5" w:rsidTr="0064112C">
        <w:trPr>
          <w:trHeight w:val="300"/>
        </w:trPr>
        <w:tc>
          <w:tcPr>
            <w:tcW w:w="2849" w:type="pct"/>
            <w:tcBorders>
              <w:top w:val="single" w:sz="4" w:space="0" w:color="9BC2E6"/>
              <w:left w:val="single" w:sz="4" w:space="0" w:color="9BC2E6"/>
              <w:bottom w:val="single" w:sz="4" w:space="0" w:color="9BC2E6"/>
              <w:right w:val="nil"/>
            </w:tcBorders>
            <w:shd w:val="clear" w:color="DDEBF7" w:fill="DDEBF7"/>
            <w:noWrap/>
            <w:vAlign w:val="bottom"/>
            <w:hideMark/>
          </w:tcPr>
          <w:p w:rsidR="006F7FDE" w:rsidRPr="00350FE5" w:rsidRDefault="006F7FDE" w:rsidP="009B4300">
            <w:pPr>
              <w:spacing w:after="0" w:line="276" w:lineRule="auto"/>
              <w:contextualSpacing/>
              <w:jc w:val="both"/>
              <w:rPr>
                <w:rFonts w:eastAsia="Times New Roman"/>
              </w:rPr>
            </w:pPr>
            <w:r w:rsidRPr="00350FE5">
              <w:rPr>
                <w:rFonts w:eastAsia="Times New Roman"/>
              </w:rPr>
              <w:t>11. Installation of Machineries (Energy Auditor Certified)</w:t>
            </w:r>
          </w:p>
        </w:tc>
        <w:tc>
          <w:tcPr>
            <w:tcW w:w="563" w:type="pct"/>
            <w:tcBorders>
              <w:top w:val="single" w:sz="4" w:space="0" w:color="9BC2E6"/>
              <w:left w:val="nil"/>
              <w:bottom w:val="single" w:sz="4" w:space="0" w:color="9BC2E6"/>
              <w:right w:val="nil"/>
            </w:tcBorders>
            <w:shd w:val="clear" w:color="DDEBF7" w:fill="DDEBF7"/>
            <w:noWrap/>
            <w:vAlign w:val="bottom"/>
            <w:hideMark/>
          </w:tcPr>
          <w:p w:rsidR="006F7FDE" w:rsidRPr="00350FE5" w:rsidRDefault="006F7FDE" w:rsidP="009B4300">
            <w:pPr>
              <w:spacing w:after="0" w:line="276" w:lineRule="auto"/>
              <w:contextualSpacing/>
              <w:jc w:val="both"/>
              <w:rPr>
                <w:rFonts w:eastAsia="Times New Roman"/>
              </w:rPr>
            </w:pPr>
            <w:r w:rsidRPr="00350FE5">
              <w:rPr>
                <w:rFonts w:eastAsia="Times New Roman"/>
              </w:rPr>
              <w:t>0</w:t>
            </w:r>
          </w:p>
        </w:tc>
        <w:tc>
          <w:tcPr>
            <w:tcW w:w="529" w:type="pct"/>
            <w:tcBorders>
              <w:top w:val="single" w:sz="4" w:space="0" w:color="9BC2E6"/>
              <w:left w:val="nil"/>
              <w:bottom w:val="single" w:sz="4" w:space="0" w:color="9BC2E6"/>
              <w:right w:val="nil"/>
            </w:tcBorders>
            <w:shd w:val="clear" w:color="DDEBF7" w:fill="DDEBF7"/>
            <w:noWrap/>
            <w:vAlign w:val="bottom"/>
            <w:hideMark/>
          </w:tcPr>
          <w:p w:rsidR="006F7FDE" w:rsidRPr="00350FE5" w:rsidRDefault="006F7FDE" w:rsidP="009B4300">
            <w:pPr>
              <w:spacing w:after="0" w:line="276" w:lineRule="auto"/>
              <w:contextualSpacing/>
              <w:jc w:val="both"/>
              <w:rPr>
                <w:rFonts w:eastAsia="Times New Roman"/>
              </w:rPr>
            </w:pPr>
            <w:r w:rsidRPr="00350FE5">
              <w:rPr>
                <w:rFonts w:eastAsia="Times New Roman"/>
              </w:rPr>
              <w:t>0</w:t>
            </w:r>
          </w:p>
        </w:tc>
        <w:tc>
          <w:tcPr>
            <w:tcW w:w="529" w:type="pct"/>
            <w:tcBorders>
              <w:top w:val="single" w:sz="4" w:space="0" w:color="9BC2E6"/>
              <w:left w:val="nil"/>
              <w:bottom w:val="single" w:sz="4" w:space="0" w:color="9BC2E6"/>
              <w:right w:val="nil"/>
            </w:tcBorders>
            <w:shd w:val="clear" w:color="DDEBF7" w:fill="DDEBF7"/>
            <w:noWrap/>
            <w:vAlign w:val="bottom"/>
            <w:hideMark/>
          </w:tcPr>
          <w:p w:rsidR="006F7FDE" w:rsidRPr="00350FE5" w:rsidRDefault="006F7FDE" w:rsidP="009B4300">
            <w:pPr>
              <w:spacing w:after="0" w:line="276" w:lineRule="auto"/>
              <w:contextualSpacing/>
              <w:jc w:val="both"/>
              <w:rPr>
                <w:rFonts w:eastAsia="Times New Roman"/>
              </w:rPr>
            </w:pPr>
            <w:r w:rsidRPr="00350FE5">
              <w:rPr>
                <w:rFonts w:eastAsia="Times New Roman"/>
              </w:rPr>
              <w:t>176.99</w:t>
            </w:r>
          </w:p>
        </w:tc>
        <w:tc>
          <w:tcPr>
            <w:tcW w:w="529" w:type="pct"/>
            <w:tcBorders>
              <w:top w:val="single" w:sz="4" w:space="0" w:color="9BC2E6"/>
              <w:left w:val="nil"/>
              <w:bottom w:val="single" w:sz="4" w:space="0" w:color="9BC2E6"/>
              <w:right w:val="single" w:sz="4" w:space="0" w:color="9BC2E6"/>
            </w:tcBorders>
            <w:shd w:val="clear" w:color="DDEBF7" w:fill="DDEBF7"/>
            <w:noWrap/>
            <w:vAlign w:val="bottom"/>
            <w:hideMark/>
          </w:tcPr>
          <w:p w:rsidR="006F7FDE" w:rsidRPr="00350FE5" w:rsidRDefault="006F7FDE" w:rsidP="009B4300">
            <w:pPr>
              <w:spacing w:after="0" w:line="276" w:lineRule="auto"/>
              <w:contextualSpacing/>
              <w:jc w:val="both"/>
              <w:rPr>
                <w:rFonts w:eastAsia="Times New Roman"/>
              </w:rPr>
            </w:pPr>
            <w:r w:rsidRPr="00350FE5">
              <w:rPr>
                <w:rFonts w:eastAsia="Times New Roman"/>
              </w:rPr>
              <w:t>289.34</w:t>
            </w:r>
          </w:p>
        </w:tc>
      </w:tr>
      <w:tr w:rsidR="006F7FDE" w:rsidRPr="00350FE5" w:rsidTr="0064112C">
        <w:trPr>
          <w:trHeight w:val="300"/>
        </w:trPr>
        <w:tc>
          <w:tcPr>
            <w:tcW w:w="2849" w:type="pct"/>
            <w:tcBorders>
              <w:top w:val="single" w:sz="4" w:space="0" w:color="9BC2E6"/>
              <w:left w:val="single" w:sz="4" w:space="0" w:color="9BC2E6"/>
              <w:bottom w:val="single" w:sz="4" w:space="0" w:color="9BC2E6"/>
              <w:right w:val="nil"/>
            </w:tcBorders>
            <w:shd w:val="clear" w:color="auto" w:fill="auto"/>
            <w:noWrap/>
            <w:vAlign w:val="bottom"/>
            <w:hideMark/>
          </w:tcPr>
          <w:p w:rsidR="006F7FDE" w:rsidRPr="00350FE5" w:rsidRDefault="006F7FDE" w:rsidP="009B4300">
            <w:pPr>
              <w:spacing w:after="0" w:line="276" w:lineRule="auto"/>
              <w:contextualSpacing/>
              <w:jc w:val="both"/>
              <w:rPr>
                <w:rFonts w:eastAsia="Times New Roman"/>
              </w:rPr>
            </w:pPr>
            <w:r w:rsidRPr="00350FE5">
              <w:rPr>
                <w:rFonts w:eastAsia="Times New Roman"/>
              </w:rPr>
              <w:t>12. Energy Efficiency Technology</w:t>
            </w:r>
          </w:p>
        </w:tc>
        <w:tc>
          <w:tcPr>
            <w:tcW w:w="563" w:type="pct"/>
            <w:tcBorders>
              <w:top w:val="single" w:sz="4" w:space="0" w:color="9BC2E6"/>
              <w:left w:val="nil"/>
              <w:bottom w:val="single" w:sz="4" w:space="0" w:color="9BC2E6"/>
              <w:right w:val="nil"/>
            </w:tcBorders>
            <w:shd w:val="clear" w:color="auto" w:fill="auto"/>
            <w:noWrap/>
            <w:vAlign w:val="bottom"/>
            <w:hideMark/>
          </w:tcPr>
          <w:p w:rsidR="006F7FDE" w:rsidRPr="00350FE5" w:rsidRDefault="006F7FDE" w:rsidP="009B4300">
            <w:pPr>
              <w:spacing w:after="0" w:line="276" w:lineRule="auto"/>
              <w:contextualSpacing/>
              <w:jc w:val="both"/>
              <w:rPr>
                <w:rFonts w:eastAsia="Times New Roman"/>
              </w:rPr>
            </w:pPr>
            <w:r w:rsidRPr="00350FE5">
              <w:rPr>
                <w:rFonts w:eastAsia="Times New Roman"/>
              </w:rPr>
              <w:t>0</w:t>
            </w:r>
          </w:p>
        </w:tc>
        <w:tc>
          <w:tcPr>
            <w:tcW w:w="529" w:type="pct"/>
            <w:tcBorders>
              <w:top w:val="single" w:sz="4" w:space="0" w:color="9BC2E6"/>
              <w:left w:val="nil"/>
              <w:bottom w:val="single" w:sz="4" w:space="0" w:color="9BC2E6"/>
              <w:right w:val="nil"/>
            </w:tcBorders>
            <w:shd w:val="clear" w:color="auto" w:fill="auto"/>
            <w:noWrap/>
            <w:vAlign w:val="bottom"/>
            <w:hideMark/>
          </w:tcPr>
          <w:p w:rsidR="006F7FDE" w:rsidRPr="00350FE5" w:rsidRDefault="006F7FDE" w:rsidP="009B4300">
            <w:pPr>
              <w:spacing w:after="0" w:line="276" w:lineRule="auto"/>
              <w:contextualSpacing/>
              <w:jc w:val="both"/>
              <w:rPr>
                <w:rFonts w:eastAsia="Times New Roman"/>
              </w:rPr>
            </w:pPr>
            <w:r w:rsidRPr="00350FE5">
              <w:rPr>
                <w:rFonts w:eastAsia="Times New Roman"/>
              </w:rPr>
              <w:t>0</w:t>
            </w:r>
          </w:p>
        </w:tc>
        <w:tc>
          <w:tcPr>
            <w:tcW w:w="529" w:type="pct"/>
            <w:tcBorders>
              <w:top w:val="single" w:sz="4" w:space="0" w:color="9BC2E6"/>
              <w:left w:val="nil"/>
              <w:bottom w:val="single" w:sz="4" w:space="0" w:color="9BC2E6"/>
              <w:right w:val="nil"/>
            </w:tcBorders>
            <w:shd w:val="clear" w:color="auto" w:fill="auto"/>
            <w:noWrap/>
            <w:vAlign w:val="bottom"/>
            <w:hideMark/>
          </w:tcPr>
          <w:p w:rsidR="006F7FDE" w:rsidRPr="00350FE5" w:rsidRDefault="006F7FDE" w:rsidP="009B4300">
            <w:pPr>
              <w:spacing w:after="0" w:line="276" w:lineRule="auto"/>
              <w:contextualSpacing/>
              <w:jc w:val="both"/>
              <w:rPr>
                <w:rFonts w:eastAsia="Times New Roman"/>
              </w:rPr>
            </w:pPr>
            <w:r w:rsidRPr="00350FE5">
              <w:rPr>
                <w:rFonts w:eastAsia="Times New Roman"/>
              </w:rPr>
              <w:t>0</w:t>
            </w:r>
          </w:p>
        </w:tc>
        <w:tc>
          <w:tcPr>
            <w:tcW w:w="529" w:type="pct"/>
            <w:tcBorders>
              <w:top w:val="single" w:sz="4" w:space="0" w:color="9BC2E6"/>
              <w:left w:val="nil"/>
              <w:bottom w:val="single" w:sz="4" w:space="0" w:color="9BC2E6"/>
              <w:right w:val="single" w:sz="4" w:space="0" w:color="9BC2E6"/>
            </w:tcBorders>
            <w:shd w:val="clear" w:color="auto" w:fill="auto"/>
            <w:noWrap/>
            <w:vAlign w:val="bottom"/>
            <w:hideMark/>
          </w:tcPr>
          <w:p w:rsidR="006F7FDE" w:rsidRPr="00350FE5" w:rsidRDefault="006F7FDE" w:rsidP="009B4300">
            <w:pPr>
              <w:spacing w:after="0" w:line="276" w:lineRule="auto"/>
              <w:contextualSpacing/>
              <w:jc w:val="both"/>
              <w:rPr>
                <w:rFonts w:eastAsia="Times New Roman"/>
              </w:rPr>
            </w:pPr>
            <w:r w:rsidRPr="00350FE5">
              <w:rPr>
                <w:rFonts w:eastAsia="Times New Roman"/>
              </w:rPr>
              <w:t>110.23</w:t>
            </w:r>
          </w:p>
        </w:tc>
      </w:tr>
      <w:tr w:rsidR="006F7FDE" w:rsidRPr="00350FE5" w:rsidTr="0064112C">
        <w:trPr>
          <w:trHeight w:val="300"/>
        </w:trPr>
        <w:tc>
          <w:tcPr>
            <w:tcW w:w="2849" w:type="pct"/>
            <w:tcBorders>
              <w:top w:val="single" w:sz="4" w:space="0" w:color="9BC2E6"/>
              <w:left w:val="single" w:sz="4" w:space="0" w:color="9BC2E6"/>
              <w:bottom w:val="single" w:sz="4" w:space="0" w:color="9BC2E6"/>
              <w:right w:val="nil"/>
            </w:tcBorders>
            <w:shd w:val="clear" w:color="DDEBF7" w:fill="DDEBF7"/>
            <w:noWrap/>
            <w:vAlign w:val="bottom"/>
            <w:hideMark/>
          </w:tcPr>
          <w:p w:rsidR="006F7FDE" w:rsidRPr="00350FE5" w:rsidRDefault="006F7FDE" w:rsidP="009B4300">
            <w:pPr>
              <w:spacing w:after="0" w:line="276" w:lineRule="auto"/>
              <w:contextualSpacing/>
              <w:jc w:val="both"/>
              <w:rPr>
                <w:rFonts w:eastAsia="Times New Roman"/>
              </w:rPr>
            </w:pPr>
            <w:r w:rsidRPr="00350FE5">
              <w:rPr>
                <w:rFonts w:eastAsia="Times New Roman"/>
              </w:rPr>
              <w:t>13. Environment-Friendly/Brick Kiln Project</w:t>
            </w:r>
          </w:p>
        </w:tc>
        <w:tc>
          <w:tcPr>
            <w:tcW w:w="563" w:type="pct"/>
            <w:tcBorders>
              <w:top w:val="single" w:sz="4" w:space="0" w:color="9BC2E6"/>
              <w:left w:val="nil"/>
              <w:bottom w:val="single" w:sz="4" w:space="0" w:color="9BC2E6"/>
              <w:right w:val="nil"/>
            </w:tcBorders>
            <w:shd w:val="clear" w:color="DDEBF7" w:fill="DDEBF7"/>
            <w:noWrap/>
            <w:vAlign w:val="bottom"/>
            <w:hideMark/>
          </w:tcPr>
          <w:p w:rsidR="006F7FDE" w:rsidRPr="00350FE5" w:rsidRDefault="006F7FDE" w:rsidP="009B4300">
            <w:pPr>
              <w:spacing w:after="0" w:line="276" w:lineRule="auto"/>
              <w:contextualSpacing/>
              <w:jc w:val="both"/>
              <w:rPr>
                <w:rFonts w:eastAsia="Times New Roman"/>
              </w:rPr>
            </w:pPr>
            <w:r w:rsidRPr="00350FE5">
              <w:rPr>
                <w:rFonts w:eastAsia="Times New Roman"/>
              </w:rPr>
              <w:t>0</w:t>
            </w:r>
          </w:p>
        </w:tc>
        <w:tc>
          <w:tcPr>
            <w:tcW w:w="529" w:type="pct"/>
            <w:tcBorders>
              <w:top w:val="single" w:sz="4" w:space="0" w:color="9BC2E6"/>
              <w:left w:val="nil"/>
              <w:bottom w:val="single" w:sz="4" w:space="0" w:color="9BC2E6"/>
              <w:right w:val="nil"/>
            </w:tcBorders>
            <w:shd w:val="clear" w:color="DDEBF7" w:fill="DDEBF7"/>
            <w:noWrap/>
            <w:vAlign w:val="bottom"/>
            <w:hideMark/>
          </w:tcPr>
          <w:p w:rsidR="006F7FDE" w:rsidRPr="00350FE5" w:rsidRDefault="006F7FDE" w:rsidP="009B4300">
            <w:pPr>
              <w:spacing w:after="0" w:line="276" w:lineRule="auto"/>
              <w:contextualSpacing/>
              <w:jc w:val="both"/>
              <w:rPr>
                <w:rFonts w:eastAsia="Times New Roman"/>
              </w:rPr>
            </w:pPr>
            <w:r w:rsidRPr="00350FE5">
              <w:rPr>
                <w:rFonts w:eastAsia="Times New Roman"/>
              </w:rPr>
              <w:t>0</w:t>
            </w:r>
          </w:p>
        </w:tc>
        <w:tc>
          <w:tcPr>
            <w:tcW w:w="529" w:type="pct"/>
            <w:tcBorders>
              <w:top w:val="single" w:sz="4" w:space="0" w:color="9BC2E6"/>
              <w:left w:val="nil"/>
              <w:bottom w:val="single" w:sz="4" w:space="0" w:color="9BC2E6"/>
              <w:right w:val="nil"/>
            </w:tcBorders>
            <w:shd w:val="clear" w:color="DDEBF7" w:fill="DDEBF7"/>
            <w:noWrap/>
            <w:vAlign w:val="bottom"/>
            <w:hideMark/>
          </w:tcPr>
          <w:p w:rsidR="006F7FDE" w:rsidRPr="00350FE5" w:rsidRDefault="006F7FDE" w:rsidP="009B4300">
            <w:pPr>
              <w:spacing w:after="0" w:line="276" w:lineRule="auto"/>
              <w:contextualSpacing/>
              <w:jc w:val="both"/>
              <w:rPr>
                <w:rFonts w:eastAsia="Times New Roman"/>
              </w:rPr>
            </w:pPr>
            <w:r w:rsidRPr="00350FE5">
              <w:rPr>
                <w:rFonts w:eastAsia="Times New Roman"/>
              </w:rPr>
              <w:t>319</w:t>
            </w:r>
          </w:p>
        </w:tc>
        <w:tc>
          <w:tcPr>
            <w:tcW w:w="529" w:type="pct"/>
            <w:tcBorders>
              <w:top w:val="single" w:sz="4" w:space="0" w:color="9BC2E6"/>
              <w:left w:val="nil"/>
              <w:bottom w:val="single" w:sz="4" w:space="0" w:color="9BC2E6"/>
              <w:right w:val="single" w:sz="4" w:space="0" w:color="9BC2E6"/>
            </w:tcBorders>
            <w:shd w:val="clear" w:color="DDEBF7" w:fill="DDEBF7"/>
            <w:noWrap/>
            <w:vAlign w:val="bottom"/>
            <w:hideMark/>
          </w:tcPr>
          <w:p w:rsidR="006F7FDE" w:rsidRPr="00350FE5" w:rsidRDefault="006F7FDE" w:rsidP="009B4300">
            <w:pPr>
              <w:spacing w:after="0" w:line="276" w:lineRule="auto"/>
              <w:contextualSpacing/>
              <w:jc w:val="both"/>
              <w:rPr>
                <w:rFonts w:eastAsia="Times New Roman"/>
              </w:rPr>
            </w:pPr>
            <w:r w:rsidRPr="00350FE5">
              <w:rPr>
                <w:rFonts w:eastAsia="Times New Roman"/>
              </w:rPr>
              <w:t>0</w:t>
            </w:r>
          </w:p>
        </w:tc>
      </w:tr>
    </w:tbl>
    <w:p w:rsidR="00621AEB" w:rsidRPr="00350FE5" w:rsidRDefault="00621AEB" w:rsidP="009B4300">
      <w:pPr>
        <w:spacing w:after="0" w:line="276" w:lineRule="auto"/>
        <w:contextualSpacing/>
        <w:jc w:val="both"/>
        <w:rPr>
          <w:bCs/>
        </w:rPr>
      </w:pPr>
    </w:p>
    <w:p w:rsidR="006F7FDE" w:rsidRPr="00350FE5" w:rsidRDefault="00E94002" w:rsidP="009B4300">
      <w:pPr>
        <w:spacing w:after="0" w:line="276" w:lineRule="auto"/>
        <w:contextualSpacing/>
        <w:jc w:val="both"/>
        <w:rPr>
          <w:rFonts w:eastAsia="Times New Roman"/>
        </w:rPr>
      </w:pPr>
      <w:r w:rsidRPr="00350FE5">
        <w:rPr>
          <w:bCs/>
        </w:rPr>
        <w:t>Table 5</w:t>
      </w:r>
      <w:r w:rsidR="006F7FDE" w:rsidRPr="00350FE5">
        <w:rPr>
          <w:bCs/>
        </w:rPr>
        <w:t xml:space="preserve"> shows, </w:t>
      </w:r>
      <w:r w:rsidR="006F7FDE" w:rsidRPr="00350FE5">
        <w:rPr>
          <w:rFonts w:eastAsia="Times New Roman"/>
        </w:rPr>
        <w:t xml:space="preserve">Installation of Machineries (Energy Auditor Certified) is 289.34 million BDT the highest investment, next to Energy Efficiency Technology is 110.23, Establishment of Green Industry is 9.93, Safety and working Environment of Factory </w:t>
      </w:r>
      <w:proofErr w:type="gramStart"/>
      <w:r w:rsidR="006F7FDE" w:rsidRPr="00350FE5">
        <w:rPr>
          <w:rFonts w:eastAsia="Times New Roman"/>
        </w:rPr>
        <w:t>related  is</w:t>
      </w:r>
      <w:proofErr w:type="gramEnd"/>
      <w:r w:rsidR="006F7FDE" w:rsidRPr="00350FE5">
        <w:rPr>
          <w:rFonts w:eastAsia="Times New Roman"/>
        </w:rPr>
        <w:t xml:space="preserve"> 8.8 and Combination of Biological and Chemical ETP is 4.47 respectfully.</w:t>
      </w:r>
    </w:p>
    <w:p w:rsidR="00E90D17" w:rsidRPr="00350FE5" w:rsidRDefault="00E90D17" w:rsidP="009B4300">
      <w:pPr>
        <w:spacing w:after="0" w:line="276" w:lineRule="auto"/>
        <w:contextualSpacing/>
        <w:jc w:val="both"/>
        <w:rPr>
          <w:rFonts w:eastAsia="Times New Roman"/>
          <w:b/>
        </w:rPr>
      </w:pPr>
    </w:p>
    <w:p w:rsidR="006F7FDE" w:rsidRPr="00350FE5" w:rsidRDefault="00F31428" w:rsidP="009B4300">
      <w:pPr>
        <w:spacing w:after="0" w:line="276" w:lineRule="auto"/>
        <w:contextualSpacing/>
        <w:jc w:val="both"/>
        <w:rPr>
          <w:b/>
        </w:rPr>
      </w:pPr>
      <w:r>
        <w:rPr>
          <w:b/>
          <w:bCs/>
        </w:rPr>
        <w:t xml:space="preserve">4.11 </w:t>
      </w:r>
      <w:r w:rsidR="006F7FDE" w:rsidRPr="00350FE5">
        <w:rPr>
          <w:b/>
        </w:rPr>
        <w:t>Digital Payment by Banks (Billion in BDT) in Bangladesh</w:t>
      </w:r>
    </w:p>
    <w:p w:rsidR="00E90D17" w:rsidRPr="00350FE5" w:rsidRDefault="00E90D17" w:rsidP="009B4300">
      <w:pPr>
        <w:spacing w:after="0" w:line="276" w:lineRule="auto"/>
        <w:contextualSpacing/>
        <w:jc w:val="both"/>
        <w:rPr>
          <w:b/>
          <w:bCs/>
        </w:rPr>
      </w:pPr>
    </w:p>
    <w:p w:rsidR="006F7FDE" w:rsidRPr="00350FE5" w:rsidRDefault="00E94002" w:rsidP="009B4300">
      <w:pPr>
        <w:spacing w:after="0" w:line="276" w:lineRule="auto"/>
        <w:contextualSpacing/>
        <w:jc w:val="both"/>
        <w:rPr>
          <w:bCs/>
        </w:rPr>
      </w:pPr>
      <w:r w:rsidRPr="00350FE5">
        <w:rPr>
          <w:bCs/>
        </w:rPr>
        <w:t>Table 6</w:t>
      </w:r>
      <w:r w:rsidR="006F7FDE" w:rsidRPr="00350FE5">
        <w:rPr>
          <w:bCs/>
        </w:rPr>
        <w:t>: Banking sector performance (by digital payment)</w:t>
      </w:r>
    </w:p>
    <w:tbl>
      <w:tblPr>
        <w:tblW w:w="5000" w:type="pct"/>
        <w:tblLook w:val="04A0" w:firstRow="1" w:lastRow="0" w:firstColumn="1" w:lastColumn="0" w:noHBand="0" w:noVBand="1"/>
      </w:tblPr>
      <w:tblGrid>
        <w:gridCol w:w="5050"/>
        <w:gridCol w:w="1083"/>
        <w:gridCol w:w="1083"/>
        <w:gridCol w:w="1083"/>
      </w:tblGrid>
      <w:tr w:rsidR="006F7FDE" w:rsidRPr="00350FE5" w:rsidTr="0064112C">
        <w:trPr>
          <w:trHeight w:val="287"/>
        </w:trPr>
        <w:tc>
          <w:tcPr>
            <w:tcW w:w="3322" w:type="pct"/>
            <w:tcBorders>
              <w:top w:val="single" w:sz="4" w:space="0" w:color="9BC2E6"/>
              <w:left w:val="single" w:sz="4" w:space="0" w:color="9BC2E6"/>
              <w:bottom w:val="single" w:sz="4" w:space="0" w:color="9BC2E6"/>
              <w:right w:val="nil"/>
            </w:tcBorders>
            <w:shd w:val="clear" w:color="DDEBF7" w:fill="DDEBF7"/>
            <w:noWrap/>
            <w:vAlign w:val="bottom"/>
            <w:hideMark/>
          </w:tcPr>
          <w:p w:rsidR="006F7FDE" w:rsidRPr="00350FE5" w:rsidRDefault="006F7FDE" w:rsidP="009B4300">
            <w:pPr>
              <w:spacing w:after="0" w:line="276" w:lineRule="auto"/>
              <w:contextualSpacing/>
              <w:jc w:val="both"/>
              <w:rPr>
                <w:bCs/>
              </w:rPr>
            </w:pPr>
            <w:r w:rsidRPr="00350FE5">
              <w:rPr>
                <w:bCs/>
              </w:rPr>
              <w:t xml:space="preserve">Item </w:t>
            </w:r>
          </w:p>
        </w:tc>
        <w:tc>
          <w:tcPr>
            <w:tcW w:w="559" w:type="pct"/>
            <w:tcBorders>
              <w:top w:val="single" w:sz="4" w:space="0" w:color="9BC2E6"/>
              <w:left w:val="nil"/>
              <w:bottom w:val="single" w:sz="4" w:space="0" w:color="9BC2E6"/>
              <w:right w:val="nil"/>
            </w:tcBorders>
            <w:shd w:val="clear" w:color="DDEBF7" w:fill="DDEBF7"/>
            <w:noWrap/>
            <w:vAlign w:val="bottom"/>
            <w:hideMark/>
          </w:tcPr>
          <w:p w:rsidR="006F7FDE" w:rsidRPr="00350FE5" w:rsidRDefault="006F7FDE" w:rsidP="009B4300">
            <w:pPr>
              <w:spacing w:after="0" w:line="276" w:lineRule="auto"/>
              <w:contextualSpacing/>
              <w:jc w:val="both"/>
              <w:rPr>
                <w:bCs/>
              </w:rPr>
            </w:pPr>
            <w:r w:rsidRPr="00350FE5">
              <w:rPr>
                <w:bCs/>
              </w:rPr>
              <w:t>FY-2021</w:t>
            </w:r>
          </w:p>
        </w:tc>
        <w:tc>
          <w:tcPr>
            <w:tcW w:w="559" w:type="pct"/>
            <w:tcBorders>
              <w:top w:val="single" w:sz="4" w:space="0" w:color="9BC2E6"/>
              <w:left w:val="nil"/>
              <w:bottom w:val="single" w:sz="4" w:space="0" w:color="9BC2E6"/>
              <w:right w:val="nil"/>
            </w:tcBorders>
            <w:shd w:val="clear" w:color="DDEBF7" w:fill="DDEBF7"/>
            <w:noWrap/>
            <w:vAlign w:val="bottom"/>
            <w:hideMark/>
          </w:tcPr>
          <w:p w:rsidR="006F7FDE" w:rsidRPr="00350FE5" w:rsidRDefault="006F7FDE" w:rsidP="009B4300">
            <w:pPr>
              <w:spacing w:after="0" w:line="276" w:lineRule="auto"/>
              <w:contextualSpacing/>
              <w:jc w:val="both"/>
              <w:rPr>
                <w:bCs/>
              </w:rPr>
            </w:pPr>
            <w:r w:rsidRPr="00350FE5">
              <w:rPr>
                <w:bCs/>
              </w:rPr>
              <w:t>FY-2022</w:t>
            </w:r>
          </w:p>
        </w:tc>
        <w:tc>
          <w:tcPr>
            <w:tcW w:w="559" w:type="pct"/>
            <w:tcBorders>
              <w:top w:val="single" w:sz="4" w:space="0" w:color="9BC2E6"/>
              <w:left w:val="nil"/>
              <w:bottom w:val="single" w:sz="4" w:space="0" w:color="9BC2E6"/>
              <w:right w:val="single" w:sz="4" w:space="0" w:color="9BC2E6"/>
            </w:tcBorders>
            <w:shd w:val="clear" w:color="DDEBF7" w:fill="DDEBF7"/>
            <w:noWrap/>
            <w:vAlign w:val="bottom"/>
            <w:hideMark/>
          </w:tcPr>
          <w:p w:rsidR="006F7FDE" w:rsidRPr="00350FE5" w:rsidRDefault="006F7FDE" w:rsidP="009B4300">
            <w:pPr>
              <w:spacing w:after="0" w:line="276" w:lineRule="auto"/>
              <w:contextualSpacing/>
              <w:jc w:val="both"/>
              <w:rPr>
                <w:bCs/>
              </w:rPr>
            </w:pPr>
            <w:r w:rsidRPr="00350FE5">
              <w:rPr>
                <w:bCs/>
              </w:rPr>
              <w:t>FY-2023</w:t>
            </w:r>
          </w:p>
        </w:tc>
      </w:tr>
      <w:tr w:rsidR="006F7FDE" w:rsidRPr="00350FE5" w:rsidTr="0064112C">
        <w:trPr>
          <w:trHeight w:val="287"/>
        </w:trPr>
        <w:tc>
          <w:tcPr>
            <w:tcW w:w="3322" w:type="pct"/>
            <w:tcBorders>
              <w:top w:val="single" w:sz="4" w:space="0" w:color="9BC2E6"/>
              <w:left w:val="single" w:sz="4" w:space="0" w:color="9BC2E6"/>
              <w:bottom w:val="single" w:sz="4" w:space="0" w:color="9BC2E6"/>
              <w:right w:val="nil"/>
            </w:tcBorders>
            <w:shd w:val="clear" w:color="auto" w:fill="auto"/>
            <w:noWrap/>
            <w:vAlign w:val="bottom"/>
            <w:hideMark/>
          </w:tcPr>
          <w:p w:rsidR="006F7FDE" w:rsidRPr="00350FE5" w:rsidRDefault="006F7FDE" w:rsidP="009B4300">
            <w:pPr>
              <w:spacing w:after="0" w:line="276" w:lineRule="auto"/>
              <w:contextualSpacing/>
              <w:jc w:val="both"/>
            </w:pPr>
            <w:r w:rsidRPr="00350FE5">
              <w:t>ATM Transaction</w:t>
            </w:r>
          </w:p>
        </w:tc>
        <w:tc>
          <w:tcPr>
            <w:tcW w:w="559" w:type="pct"/>
            <w:tcBorders>
              <w:top w:val="single" w:sz="4" w:space="0" w:color="9BC2E6"/>
              <w:left w:val="nil"/>
              <w:bottom w:val="single" w:sz="4" w:space="0" w:color="9BC2E6"/>
              <w:right w:val="nil"/>
            </w:tcBorders>
            <w:shd w:val="clear" w:color="auto" w:fill="auto"/>
            <w:noWrap/>
            <w:vAlign w:val="bottom"/>
            <w:hideMark/>
          </w:tcPr>
          <w:p w:rsidR="006F7FDE" w:rsidRPr="00350FE5" w:rsidRDefault="006F7FDE" w:rsidP="009B4300">
            <w:pPr>
              <w:spacing w:after="0" w:line="276" w:lineRule="auto"/>
              <w:contextualSpacing/>
              <w:jc w:val="both"/>
            </w:pPr>
            <w:r w:rsidRPr="00350FE5">
              <w:t>1585.7</w:t>
            </w:r>
          </w:p>
        </w:tc>
        <w:tc>
          <w:tcPr>
            <w:tcW w:w="559" w:type="pct"/>
            <w:tcBorders>
              <w:top w:val="single" w:sz="4" w:space="0" w:color="9BC2E6"/>
              <w:left w:val="nil"/>
              <w:bottom w:val="single" w:sz="4" w:space="0" w:color="9BC2E6"/>
              <w:right w:val="nil"/>
            </w:tcBorders>
            <w:shd w:val="clear" w:color="auto" w:fill="auto"/>
            <w:noWrap/>
            <w:vAlign w:val="bottom"/>
            <w:hideMark/>
          </w:tcPr>
          <w:p w:rsidR="006F7FDE" w:rsidRPr="00350FE5" w:rsidRDefault="006F7FDE" w:rsidP="009B4300">
            <w:pPr>
              <w:spacing w:after="0" w:line="276" w:lineRule="auto"/>
              <w:contextualSpacing/>
              <w:jc w:val="both"/>
            </w:pPr>
            <w:r w:rsidRPr="00350FE5">
              <w:t>2985.5</w:t>
            </w:r>
          </w:p>
        </w:tc>
        <w:tc>
          <w:tcPr>
            <w:tcW w:w="559" w:type="pct"/>
            <w:tcBorders>
              <w:top w:val="single" w:sz="4" w:space="0" w:color="9BC2E6"/>
              <w:left w:val="nil"/>
              <w:bottom w:val="single" w:sz="4" w:space="0" w:color="9BC2E6"/>
              <w:right w:val="single" w:sz="4" w:space="0" w:color="9BC2E6"/>
            </w:tcBorders>
            <w:shd w:val="clear" w:color="auto" w:fill="auto"/>
            <w:noWrap/>
            <w:vAlign w:val="bottom"/>
            <w:hideMark/>
          </w:tcPr>
          <w:p w:rsidR="006F7FDE" w:rsidRPr="00350FE5" w:rsidRDefault="006F7FDE" w:rsidP="009B4300">
            <w:pPr>
              <w:spacing w:after="0" w:line="276" w:lineRule="auto"/>
              <w:contextualSpacing/>
              <w:jc w:val="both"/>
            </w:pPr>
            <w:r w:rsidRPr="00350FE5">
              <w:t>4332.1</w:t>
            </w:r>
          </w:p>
        </w:tc>
      </w:tr>
      <w:tr w:rsidR="006F7FDE" w:rsidRPr="00350FE5" w:rsidTr="0064112C">
        <w:trPr>
          <w:trHeight w:val="287"/>
        </w:trPr>
        <w:tc>
          <w:tcPr>
            <w:tcW w:w="3322" w:type="pct"/>
            <w:tcBorders>
              <w:top w:val="single" w:sz="4" w:space="0" w:color="9BC2E6"/>
              <w:left w:val="single" w:sz="4" w:space="0" w:color="9BC2E6"/>
              <w:bottom w:val="single" w:sz="4" w:space="0" w:color="9BC2E6"/>
              <w:right w:val="nil"/>
            </w:tcBorders>
            <w:shd w:val="clear" w:color="DDEBF7" w:fill="DDEBF7"/>
            <w:noWrap/>
            <w:vAlign w:val="bottom"/>
            <w:hideMark/>
          </w:tcPr>
          <w:p w:rsidR="006F7FDE" w:rsidRPr="00350FE5" w:rsidRDefault="006F7FDE" w:rsidP="009B4300">
            <w:pPr>
              <w:spacing w:after="0" w:line="276" w:lineRule="auto"/>
              <w:contextualSpacing/>
              <w:jc w:val="both"/>
            </w:pPr>
            <w:r w:rsidRPr="00350FE5">
              <w:t>POS Transaction</w:t>
            </w:r>
          </w:p>
        </w:tc>
        <w:tc>
          <w:tcPr>
            <w:tcW w:w="559" w:type="pct"/>
            <w:tcBorders>
              <w:top w:val="single" w:sz="4" w:space="0" w:color="9BC2E6"/>
              <w:left w:val="nil"/>
              <w:bottom w:val="single" w:sz="4" w:space="0" w:color="9BC2E6"/>
              <w:right w:val="nil"/>
            </w:tcBorders>
            <w:shd w:val="clear" w:color="DDEBF7" w:fill="DDEBF7"/>
            <w:noWrap/>
            <w:vAlign w:val="bottom"/>
            <w:hideMark/>
          </w:tcPr>
          <w:p w:rsidR="006F7FDE" w:rsidRPr="00350FE5" w:rsidRDefault="006F7FDE" w:rsidP="009B4300">
            <w:pPr>
              <w:spacing w:after="0" w:line="276" w:lineRule="auto"/>
              <w:contextualSpacing/>
              <w:jc w:val="both"/>
            </w:pPr>
            <w:r w:rsidRPr="00350FE5">
              <w:t>171.9</w:t>
            </w:r>
          </w:p>
        </w:tc>
        <w:tc>
          <w:tcPr>
            <w:tcW w:w="559" w:type="pct"/>
            <w:tcBorders>
              <w:top w:val="single" w:sz="4" w:space="0" w:color="9BC2E6"/>
              <w:left w:val="nil"/>
              <w:bottom w:val="single" w:sz="4" w:space="0" w:color="9BC2E6"/>
              <w:right w:val="nil"/>
            </w:tcBorders>
            <w:shd w:val="clear" w:color="DDEBF7" w:fill="DDEBF7"/>
            <w:noWrap/>
            <w:vAlign w:val="bottom"/>
            <w:hideMark/>
          </w:tcPr>
          <w:p w:rsidR="006F7FDE" w:rsidRPr="00350FE5" w:rsidRDefault="006F7FDE" w:rsidP="009B4300">
            <w:pPr>
              <w:spacing w:after="0" w:line="276" w:lineRule="auto"/>
              <w:contextualSpacing/>
              <w:jc w:val="both"/>
            </w:pPr>
            <w:r w:rsidRPr="00350FE5">
              <w:t>226.6</w:t>
            </w:r>
          </w:p>
        </w:tc>
        <w:tc>
          <w:tcPr>
            <w:tcW w:w="559" w:type="pct"/>
            <w:tcBorders>
              <w:top w:val="single" w:sz="4" w:space="0" w:color="9BC2E6"/>
              <w:left w:val="nil"/>
              <w:bottom w:val="single" w:sz="4" w:space="0" w:color="9BC2E6"/>
              <w:right w:val="single" w:sz="4" w:space="0" w:color="9BC2E6"/>
            </w:tcBorders>
            <w:shd w:val="clear" w:color="DDEBF7" w:fill="DDEBF7"/>
            <w:noWrap/>
            <w:vAlign w:val="bottom"/>
            <w:hideMark/>
          </w:tcPr>
          <w:p w:rsidR="006F7FDE" w:rsidRPr="00350FE5" w:rsidRDefault="006F7FDE" w:rsidP="009B4300">
            <w:pPr>
              <w:spacing w:after="0" w:line="276" w:lineRule="auto"/>
              <w:contextualSpacing/>
              <w:jc w:val="both"/>
            </w:pPr>
            <w:r w:rsidRPr="00350FE5">
              <w:t>296.4</w:t>
            </w:r>
          </w:p>
        </w:tc>
      </w:tr>
      <w:tr w:rsidR="006F7FDE" w:rsidRPr="00350FE5" w:rsidTr="0064112C">
        <w:trPr>
          <w:trHeight w:val="287"/>
        </w:trPr>
        <w:tc>
          <w:tcPr>
            <w:tcW w:w="3322" w:type="pct"/>
            <w:tcBorders>
              <w:top w:val="single" w:sz="4" w:space="0" w:color="9BC2E6"/>
              <w:left w:val="single" w:sz="4" w:space="0" w:color="9BC2E6"/>
              <w:bottom w:val="single" w:sz="4" w:space="0" w:color="9BC2E6"/>
              <w:right w:val="nil"/>
            </w:tcBorders>
            <w:shd w:val="clear" w:color="auto" w:fill="auto"/>
            <w:noWrap/>
            <w:vAlign w:val="bottom"/>
            <w:hideMark/>
          </w:tcPr>
          <w:p w:rsidR="006F7FDE" w:rsidRPr="00350FE5" w:rsidRDefault="006F7FDE" w:rsidP="009B4300">
            <w:pPr>
              <w:spacing w:after="0" w:line="276" w:lineRule="auto"/>
              <w:contextualSpacing/>
              <w:jc w:val="both"/>
            </w:pPr>
            <w:r w:rsidRPr="00350FE5">
              <w:t>E-Commerce Transaction</w:t>
            </w:r>
          </w:p>
        </w:tc>
        <w:tc>
          <w:tcPr>
            <w:tcW w:w="559" w:type="pct"/>
            <w:tcBorders>
              <w:top w:val="single" w:sz="4" w:space="0" w:color="9BC2E6"/>
              <w:left w:val="nil"/>
              <w:bottom w:val="single" w:sz="4" w:space="0" w:color="9BC2E6"/>
              <w:right w:val="nil"/>
            </w:tcBorders>
            <w:shd w:val="clear" w:color="auto" w:fill="auto"/>
            <w:noWrap/>
            <w:vAlign w:val="bottom"/>
            <w:hideMark/>
          </w:tcPr>
          <w:p w:rsidR="006F7FDE" w:rsidRPr="00350FE5" w:rsidRDefault="006F7FDE" w:rsidP="009B4300">
            <w:pPr>
              <w:spacing w:after="0" w:line="276" w:lineRule="auto"/>
              <w:contextualSpacing/>
              <w:jc w:val="both"/>
            </w:pPr>
            <w:r w:rsidRPr="00350FE5">
              <w:t>77.6</w:t>
            </w:r>
          </w:p>
        </w:tc>
        <w:tc>
          <w:tcPr>
            <w:tcW w:w="559" w:type="pct"/>
            <w:tcBorders>
              <w:top w:val="single" w:sz="4" w:space="0" w:color="9BC2E6"/>
              <w:left w:val="nil"/>
              <w:bottom w:val="single" w:sz="4" w:space="0" w:color="9BC2E6"/>
              <w:right w:val="nil"/>
            </w:tcBorders>
            <w:shd w:val="clear" w:color="auto" w:fill="auto"/>
            <w:noWrap/>
            <w:vAlign w:val="bottom"/>
            <w:hideMark/>
          </w:tcPr>
          <w:p w:rsidR="006F7FDE" w:rsidRPr="00350FE5" w:rsidRDefault="006F7FDE" w:rsidP="009B4300">
            <w:pPr>
              <w:spacing w:after="0" w:line="276" w:lineRule="auto"/>
              <w:contextualSpacing/>
              <w:jc w:val="both"/>
            </w:pPr>
            <w:r w:rsidRPr="00350FE5">
              <w:t>88</w:t>
            </w:r>
          </w:p>
        </w:tc>
        <w:tc>
          <w:tcPr>
            <w:tcW w:w="559" w:type="pct"/>
            <w:tcBorders>
              <w:top w:val="single" w:sz="4" w:space="0" w:color="9BC2E6"/>
              <w:left w:val="nil"/>
              <w:bottom w:val="single" w:sz="4" w:space="0" w:color="9BC2E6"/>
              <w:right w:val="single" w:sz="4" w:space="0" w:color="9BC2E6"/>
            </w:tcBorders>
            <w:shd w:val="clear" w:color="auto" w:fill="auto"/>
            <w:noWrap/>
            <w:vAlign w:val="bottom"/>
            <w:hideMark/>
          </w:tcPr>
          <w:p w:rsidR="006F7FDE" w:rsidRPr="00350FE5" w:rsidRDefault="006F7FDE" w:rsidP="009B4300">
            <w:pPr>
              <w:spacing w:after="0" w:line="276" w:lineRule="auto"/>
              <w:contextualSpacing/>
              <w:jc w:val="both"/>
            </w:pPr>
            <w:r w:rsidRPr="00350FE5">
              <w:t>130.6</w:t>
            </w:r>
          </w:p>
        </w:tc>
      </w:tr>
      <w:tr w:rsidR="006F7FDE" w:rsidRPr="00350FE5" w:rsidTr="0064112C">
        <w:trPr>
          <w:trHeight w:val="287"/>
        </w:trPr>
        <w:tc>
          <w:tcPr>
            <w:tcW w:w="3322" w:type="pct"/>
            <w:tcBorders>
              <w:top w:val="single" w:sz="4" w:space="0" w:color="9BC2E6"/>
              <w:left w:val="single" w:sz="4" w:space="0" w:color="9BC2E6"/>
              <w:bottom w:val="single" w:sz="4" w:space="0" w:color="9BC2E6"/>
              <w:right w:val="nil"/>
            </w:tcBorders>
            <w:shd w:val="clear" w:color="DDEBF7" w:fill="DDEBF7"/>
            <w:noWrap/>
            <w:vAlign w:val="bottom"/>
            <w:hideMark/>
          </w:tcPr>
          <w:p w:rsidR="006F7FDE" w:rsidRPr="00350FE5" w:rsidRDefault="006F7FDE" w:rsidP="009B4300">
            <w:pPr>
              <w:spacing w:after="0" w:line="276" w:lineRule="auto"/>
              <w:contextualSpacing/>
              <w:jc w:val="both"/>
            </w:pPr>
            <w:r w:rsidRPr="00350FE5">
              <w:t>Internet Banking Fund Transfer (IBFT)</w:t>
            </w:r>
          </w:p>
        </w:tc>
        <w:tc>
          <w:tcPr>
            <w:tcW w:w="559" w:type="pct"/>
            <w:tcBorders>
              <w:top w:val="single" w:sz="4" w:space="0" w:color="9BC2E6"/>
              <w:left w:val="nil"/>
              <w:bottom w:val="single" w:sz="4" w:space="0" w:color="9BC2E6"/>
              <w:right w:val="nil"/>
            </w:tcBorders>
            <w:shd w:val="clear" w:color="DDEBF7" w:fill="DDEBF7"/>
            <w:noWrap/>
            <w:vAlign w:val="bottom"/>
            <w:hideMark/>
          </w:tcPr>
          <w:p w:rsidR="006F7FDE" w:rsidRPr="00350FE5" w:rsidRDefault="006F7FDE" w:rsidP="009B4300">
            <w:pPr>
              <w:spacing w:after="0" w:line="276" w:lineRule="auto"/>
              <w:contextualSpacing/>
              <w:jc w:val="both"/>
            </w:pPr>
            <w:r w:rsidRPr="00350FE5">
              <w:t>98.6</w:t>
            </w:r>
          </w:p>
        </w:tc>
        <w:tc>
          <w:tcPr>
            <w:tcW w:w="559" w:type="pct"/>
            <w:tcBorders>
              <w:top w:val="single" w:sz="4" w:space="0" w:color="9BC2E6"/>
              <w:left w:val="nil"/>
              <w:bottom w:val="single" w:sz="4" w:space="0" w:color="9BC2E6"/>
              <w:right w:val="nil"/>
            </w:tcBorders>
            <w:shd w:val="clear" w:color="DDEBF7" w:fill="DDEBF7"/>
            <w:noWrap/>
            <w:vAlign w:val="bottom"/>
            <w:hideMark/>
          </w:tcPr>
          <w:p w:rsidR="006F7FDE" w:rsidRPr="00350FE5" w:rsidRDefault="006F7FDE" w:rsidP="009B4300">
            <w:pPr>
              <w:spacing w:after="0" w:line="276" w:lineRule="auto"/>
              <w:contextualSpacing/>
              <w:jc w:val="both"/>
            </w:pPr>
            <w:r w:rsidRPr="00350FE5">
              <w:t>335.4</w:t>
            </w:r>
          </w:p>
        </w:tc>
        <w:tc>
          <w:tcPr>
            <w:tcW w:w="559" w:type="pct"/>
            <w:tcBorders>
              <w:top w:val="single" w:sz="4" w:space="0" w:color="9BC2E6"/>
              <w:left w:val="nil"/>
              <w:bottom w:val="single" w:sz="4" w:space="0" w:color="9BC2E6"/>
              <w:right w:val="single" w:sz="4" w:space="0" w:color="9BC2E6"/>
            </w:tcBorders>
            <w:shd w:val="clear" w:color="DDEBF7" w:fill="DDEBF7"/>
            <w:noWrap/>
            <w:vAlign w:val="bottom"/>
            <w:hideMark/>
          </w:tcPr>
          <w:p w:rsidR="006F7FDE" w:rsidRPr="00350FE5" w:rsidRDefault="006F7FDE" w:rsidP="009B4300">
            <w:pPr>
              <w:spacing w:after="0" w:line="276" w:lineRule="auto"/>
              <w:contextualSpacing/>
              <w:jc w:val="both"/>
            </w:pPr>
            <w:r w:rsidRPr="00350FE5">
              <w:t>880.3</w:t>
            </w:r>
          </w:p>
        </w:tc>
      </w:tr>
      <w:tr w:rsidR="006F7FDE" w:rsidRPr="00350FE5" w:rsidTr="0064112C">
        <w:trPr>
          <w:trHeight w:val="287"/>
        </w:trPr>
        <w:tc>
          <w:tcPr>
            <w:tcW w:w="3322" w:type="pct"/>
            <w:tcBorders>
              <w:top w:val="single" w:sz="4" w:space="0" w:color="9BC2E6"/>
              <w:left w:val="single" w:sz="4" w:space="0" w:color="9BC2E6"/>
              <w:bottom w:val="single" w:sz="4" w:space="0" w:color="9BC2E6"/>
              <w:right w:val="nil"/>
            </w:tcBorders>
            <w:shd w:val="clear" w:color="auto" w:fill="auto"/>
            <w:noWrap/>
            <w:vAlign w:val="bottom"/>
            <w:hideMark/>
          </w:tcPr>
          <w:p w:rsidR="006F7FDE" w:rsidRPr="00350FE5" w:rsidRDefault="006F7FDE" w:rsidP="009B4300">
            <w:pPr>
              <w:spacing w:after="0" w:line="276" w:lineRule="auto"/>
              <w:contextualSpacing/>
              <w:jc w:val="both"/>
            </w:pPr>
            <w:r w:rsidRPr="00350FE5">
              <w:t>BEFTN (Debit)</w:t>
            </w:r>
          </w:p>
        </w:tc>
        <w:tc>
          <w:tcPr>
            <w:tcW w:w="559" w:type="pct"/>
            <w:tcBorders>
              <w:top w:val="single" w:sz="4" w:space="0" w:color="9BC2E6"/>
              <w:left w:val="nil"/>
              <w:bottom w:val="single" w:sz="4" w:space="0" w:color="9BC2E6"/>
              <w:right w:val="nil"/>
            </w:tcBorders>
            <w:shd w:val="clear" w:color="auto" w:fill="auto"/>
            <w:noWrap/>
            <w:vAlign w:val="bottom"/>
            <w:hideMark/>
          </w:tcPr>
          <w:p w:rsidR="006F7FDE" w:rsidRPr="00350FE5" w:rsidRDefault="006F7FDE" w:rsidP="009B4300">
            <w:pPr>
              <w:spacing w:after="0" w:line="276" w:lineRule="auto"/>
              <w:contextualSpacing/>
              <w:jc w:val="both"/>
            </w:pPr>
            <w:r w:rsidRPr="00350FE5">
              <w:t>631.5</w:t>
            </w:r>
          </w:p>
        </w:tc>
        <w:tc>
          <w:tcPr>
            <w:tcW w:w="559" w:type="pct"/>
            <w:tcBorders>
              <w:top w:val="single" w:sz="4" w:space="0" w:color="9BC2E6"/>
              <w:left w:val="nil"/>
              <w:bottom w:val="single" w:sz="4" w:space="0" w:color="9BC2E6"/>
              <w:right w:val="nil"/>
            </w:tcBorders>
            <w:shd w:val="clear" w:color="auto" w:fill="auto"/>
            <w:noWrap/>
            <w:vAlign w:val="bottom"/>
            <w:hideMark/>
          </w:tcPr>
          <w:p w:rsidR="006F7FDE" w:rsidRPr="00350FE5" w:rsidRDefault="006F7FDE" w:rsidP="009B4300">
            <w:pPr>
              <w:spacing w:after="0" w:line="276" w:lineRule="auto"/>
              <w:contextualSpacing/>
              <w:jc w:val="both"/>
            </w:pPr>
            <w:r w:rsidRPr="00350FE5">
              <w:t>974</w:t>
            </w:r>
          </w:p>
        </w:tc>
        <w:tc>
          <w:tcPr>
            <w:tcW w:w="559" w:type="pct"/>
            <w:tcBorders>
              <w:top w:val="single" w:sz="4" w:space="0" w:color="9BC2E6"/>
              <w:left w:val="nil"/>
              <w:bottom w:val="single" w:sz="4" w:space="0" w:color="9BC2E6"/>
              <w:right w:val="single" w:sz="4" w:space="0" w:color="9BC2E6"/>
            </w:tcBorders>
            <w:shd w:val="clear" w:color="auto" w:fill="auto"/>
            <w:noWrap/>
            <w:vAlign w:val="bottom"/>
            <w:hideMark/>
          </w:tcPr>
          <w:p w:rsidR="006F7FDE" w:rsidRPr="00350FE5" w:rsidRDefault="006F7FDE" w:rsidP="009B4300">
            <w:pPr>
              <w:spacing w:after="0" w:line="276" w:lineRule="auto"/>
              <w:contextualSpacing/>
              <w:jc w:val="both"/>
            </w:pPr>
            <w:r w:rsidRPr="00350FE5">
              <w:t>1312.6</w:t>
            </w:r>
          </w:p>
        </w:tc>
      </w:tr>
      <w:tr w:rsidR="006F7FDE" w:rsidRPr="00350FE5" w:rsidTr="0064112C">
        <w:trPr>
          <w:trHeight w:val="287"/>
        </w:trPr>
        <w:tc>
          <w:tcPr>
            <w:tcW w:w="3322" w:type="pct"/>
            <w:tcBorders>
              <w:top w:val="single" w:sz="4" w:space="0" w:color="9BC2E6"/>
              <w:left w:val="single" w:sz="4" w:space="0" w:color="9BC2E6"/>
              <w:bottom w:val="single" w:sz="4" w:space="0" w:color="9BC2E6"/>
              <w:right w:val="nil"/>
            </w:tcBorders>
            <w:shd w:val="clear" w:color="DDEBF7" w:fill="DDEBF7"/>
            <w:noWrap/>
            <w:vAlign w:val="bottom"/>
            <w:hideMark/>
          </w:tcPr>
          <w:p w:rsidR="006F7FDE" w:rsidRPr="00350FE5" w:rsidRDefault="006F7FDE" w:rsidP="009B4300">
            <w:pPr>
              <w:spacing w:after="0" w:line="276" w:lineRule="auto"/>
              <w:contextualSpacing/>
              <w:jc w:val="both"/>
            </w:pPr>
            <w:r w:rsidRPr="00350FE5">
              <w:t>BEFTN (Credit)</w:t>
            </w:r>
          </w:p>
        </w:tc>
        <w:tc>
          <w:tcPr>
            <w:tcW w:w="559" w:type="pct"/>
            <w:tcBorders>
              <w:top w:val="single" w:sz="4" w:space="0" w:color="9BC2E6"/>
              <w:left w:val="nil"/>
              <w:bottom w:val="single" w:sz="4" w:space="0" w:color="9BC2E6"/>
              <w:right w:val="nil"/>
            </w:tcBorders>
            <w:shd w:val="clear" w:color="DDEBF7" w:fill="DDEBF7"/>
            <w:noWrap/>
            <w:vAlign w:val="bottom"/>
            <w:hideMark/>
          </w:tcPr>
          <w:p w:rsidR="006F7FDE" w:rsidRPr="00350FE5" w:rsidRDefault="006F7FDE" w:rsidP="009B4300">
            <w:pPr>
              <w:spacing w:after="0" w:line="276" w:lineRule="auto"/>
              <w:contextualSpacing/>
              <w:jc w:val="both"/>
            </w:pPr>
            <w:r w:rsidRPr="00350FE5">
              <w:t>3774.4</w:t>
            </w:r>
          </w:p>
        </w:tc>
        <w:tc>
          <w:tcPr>
            <w:tcW w:w="559" w:type="pct"/>
            <w:tcBorders>
              <w:top w:val="single" w:sz="4" w:space="0" w:color="9BC2E6"/>
              <w:left w:val="nil"/>
              <w:bottom w:val="single" w:sz="4" w:space="0" w:color="9BC2E6"/>
              <w:right w:val="nil"/>
            </w:tcBorders>
            <w:shd w:val="clear" w:color="DDEBF7" w:fill="DDEBF7"/>
            <w:noWrap/>
            <w:vAlign w:val="bottom"/>
            <w:hideMark/>
          </w:tcPr>
          <w:p w:rsidR="006F7FDE" w:rsidRPr="00350FE5" w:rsidRDefault="006F7FDE" w:rsidP="009B4300">
            <w:pPr>
              <w:spacing w:after="0" w:line="276" w:lineRule="auto"/>
              <w:contextualSpacing/>
              <w:jc w:val="both"/>
            </w:pPr>
            <w:r w:rsidRPr="00350FE5">
              <w:t>4954.1</w:t>
            </w:r>
          </w:p>
        </w:tc>
        <w:tc>
          <w:tcPr>
            <w:tcW w:w="559" w:type="pct"/>
            <w:tcBorders>
              <w:top w:val="single" w:sz="4" w:space="0" w:color="9BC2E6"/>
              <w:left w:val="nil"/>
              <w:bottom w:val="single" w:sz="4" w:space="0" w:color="9BC2E6"/>
              <w:right w:val="single" w:sz="4" w:space="0" w:color="9BC2E6"/>
            </w:tcBorders>
            <w:shd w:val="clear" w:color="DDEBF7" w:fill="DDEBF7"/>
            <w:noWrap/>
            <w:vAlign w:val="bottom"/>
            <w:hideMark/>
          </w:tcPr>
          <w:p w:rsidR="006F7FDE" w:rsidRPr="00350FE5" w:rsidRDefault="006F7FDE" w:rsidP="009B4300">
            <w:pPr>
              <w:spacing w:after="0" w:line="276" w:lineRule="auto"/>
              <w:contextualSpacing/>
              <w:jc w:val="both"/>
            </w:pPr>
            <w:r w:rsidRPr="00350FE5">
              <w:t>5568.6</w:t>
            </w:r>
          </w:p>
        </w:tc>
      </w:tr>
    </w:tbl>
    <w:p w:rsidR="006F7FDE" w:rsidRPr="00350FE5" w:rsidRDefault="006F7FDE" w:rsidP="009B4300">
      <w:pPr>
        <w:spacing w:after="0" w:line="276" w:lineRule="auto"/>
        <w:contextualSpacing/>
        <w:jc w:val="both"/>
        <w:rPr>
          <w:bCs/>
        </w:rPr>
      </w:pPr>
    </w:p>
    <w:p w:rsidR="006F7FDE" w:rsidRPr="00350FE5" w:rsidRDefault="00E94002" w:rsidP="009B4300">
      <w:pPr>
        <w:spacing w:after="0" w:line="276" w:lineRule="auto"/>
        <w:contextualSpacing/>
        <w:jc w:val="both"/>
        <w:rPr>
          <w:bCs/>
        </w:rPr>
      </w:pPr>
      <w:r w:rsidRPr="00350FE5">
        <w:rPr>
          <w:bCs/>
        </w:rPr>
        <w:t>Table 6</w:t>
      </w:r>
      <w:r w:rsidR="006F7FDE" w:rsidRPr="00350FE5">
        <w:rPr>
          <w:bCs/>
        </w:rPr>
        <w:t xml:space="preserve"> shows last </w:t>
      </w:r>
      <w:proofErr w:type="gramStart"/>
      <w:r w:rsidR="006F7FDE" w:rsidRPr="00350FE5">
        <w:rPr>
          <w:bCs/>
        </w:rPr>
        <w:t>three year</w:t>
      </w:r>
      <w:proofErr w:type="gramEnd"/>
      <w:r w:rsidR="006F7FDE" w:rsidRPr="00350FE5">
        <w:rPr>
          <w:bCs/>
        </w:rPr>
        <w:t xml:space="preserve"> digital payment by banks where every </w:t>
      </w:r>
      <w:r w:rsidR="00F31428">
        <w:rPr>
          <w:bCs/>
        </w:rPr>
        <w:t>events of digital payment growth in</w:t>
      </w:r>
      <w:r w:rsidR="006F7FDE" w:rsidRPr="00350FE5">
        <w:rPr>
          <w:bCs/>
        </w:rPr>
        <w:t xml:space="preserve"> upper trend.</w:t>
      </w:r>
    </w:p>
    <w:p w:rsidR="00012D5D" w:rsidRPr="00350FE5" w:rsidRDefault="00012D5D" w:rsidP="009B4300">
      <w:pPr>
        <w:pStyle w:val="Default"/>
        <w:spacing w:line="276" w:lineRule="auto"/>
        <w:jc w:val="both"/>
        <w:rPr>
          <w:b/>
          <w:color w:val="000000" w:themeColor="text1"/>
        </w:rPr>
      </w:pPr>
    </w:p>
    <w:p w:rsidR="00F31428" w:rsidRDefault="00F31428" w:rsidP="009B4300">
      <w:pPr>
        <w:pStyle w:val="Default"/>
        <w:spacing w:line="276" w:lineRule="auto"/>
        <w:jc w:val="both"/>
        <w:rPr>
          <w:b/>
          <w:color w:val="000000" w:themeColor="text1"/>
        </w:rPr>
      </w:pPr>
    </w:p>
    <w:p w:rsidR="00F31428" w:rsidRDefault="00F31428" w:rsidP="009B4300">
      <w:pPr>
        <w:pStyle w:val="Default"/>
        <w:spacing w:line="276" w:lineRule="auto"/>
        <w:jc w:val="both"/>
        <w:rPr>
          <w:b/>
          <w:color w:val="000000" w:themeColor="text1"/>
        </w:rPr>
      </w:pPr>
    </w:p>
    <w:p w:rsidR="00012D5D" w:rsidRPr="00350FE5" w:rsidRDefault="006F7FDE" w:rsidP="009B4300">
      <w:pPr>
        <w:pStyle w:val="Default"/>
        <w:spacing w:line="276" w:lineRule="auto"/>
        <w:jc w:val="both"/>
        <w:rPr>
          <w:b/>
          <w:color w:val="000000" w:themeColor="text1"/>
        </w:rPr>
      </w:pPr>
      <w:r w:rsidRPr="00350FE5">
        <w:rPr>
          <w:b/>
          <w:color w:val="000000" w:themeColor="text1"/>
        </w:rPr>
        <w:lastRenderedPageBreak/>
        <w:t xml:space="preserve"> </w:t>
      </w:r>
      <w:r w:rsidR="00F31428">
        <w:rPr>
          <w:b/>
          <w:color w:val="000000" w:themeColor="text1"/>
        </w:rPr>
        <w:t xml:space="preserve">4.12 </w:t>
      </w:r>
      <w:r w:rsidRPr="00350FE5">
        <w:rPr>
          <w:b/>
          <w:color w:val="000000" w:themeColor="text1"/>
        </w:rPr>
        <w:t>Sustainability Ranking of Bank</w:t>
      </w:r>
      <w:r w:rsidR="00012D5D" w:rsidRPr="00350FE5">
        <w:rPr>
          <w:b/>
          <w:color w:val="000000" w:themeColor="text1"/>
        </w:rPr>
        <w:t>s</w:t>
      </w:r>
    </w:p>
    <w:p w:rsidR="006F7FDE" w:rsidRPr="00350FE5" w:rsidRDefault="006F7FDE" w:rsidP="009B4300">
      <w:pPr>
        <w:pStyle w:val="Default"/>
        <w:spacing w:line="276" w:lineRule="auto"/>
        <w:jc w:val="both"/>
        <w:rPr>
          <w:color w:val="000000" w:themeColor="text1"/>
        </w:rPr>
      </w:pPr>
    </w:p>
    <w:p w:rsidR="006F7FDE" w:rsidRPr="00350FE5" w:rsidRDefault="00C71871" w:rsidP="009B4300">
      <w:pPr>
        <w:spacing w:after="0" w:line="276" w:lineRule="auto"/>
        <w:contextualSpacing/>
        <w:jc w:val="both"/>
      </w:pPr>
      <w:r w:rsidRPr="00350FE5">
        <w:t xml:space="preserve"> </w:t>
      </w:r>
      <w:r w:rsidR="006F7FDE" w:rsidRPr="00350FE5">
        <w:t xml:space="preserve">Bangladesh Bank declared sustainable banks based on four indicators in the Sustainable Ratings of 2020, 2021, and 2022, such as </w:t>
      </w:r>
      <w:proofErr w:type="spellStart"/>
      <w:r w:rsidR="006F7FDE" w:rsidRPr="00350FE5">
        <w:t>i</w:t>
      </w:r>
      <w:proofErr w:type="spellEnd"/>
      <w:r w:rsidR="006F7FDE" w:rsidRPr="00350FE5">
        <w:t xml:space="preserve">) SF, ii) GF, iii) CSR activities, and iv) Core banking sustainability. That is (2022) the 3rd time BB announced bank sustainability ratings. In two years, we realized we had considered and attached all three core values of people, planet, and prosperity to sustainability as our bank's mission statement. Now, BRAC bank follows impact-based funding instead of conventional financing to achieve the SDG 17 goals in Bangladesh. He also noted that as a founding member of the global alliance for Banking on Values, we use 360-degree banking services to provide an endurable monetary, environmental, and social transition. "As one of the founding members of the Global Alliance for Banking on Values, we are utilizing 360-degree banking services to deliver sustainable economic, social, and environmental development. Our corporate social initiatives are also focused heavily on agendas that have an ongoing influence on the environment, society, and its people," Hussain remarked. "On the principles of sustainability, BRAC Bank seeks to employ the guiding regulations of Bangladesh Bank and set sustainable growth priorities in our future strategy. We are honored that Bangladesh Bank has named us one of the Top Ten Sustainable Banks for 2021," he added. Executive director and spokesperson of Bangladesh Bank, Md </w:t>
      </w:r>
      <w:proofErr w:type="spellStart"/>
      <w:r w:rsidR="006F7FDE" w:rsidRPr="00350FE5">
        <w:t>Serajul</w:t>
      </w:r>
      <w:proofErr w:type="spellEnd"/>
      <w:r w:rsidR="006F7FDE" w:rsidRPr="00350FE5">
        <w:t xml:space="preserve"> Islam, said that the top 10 banks in the sustainability rating list were published to motivate the banks to uphold good governance, integrity, and social responsibility. Asked about the indicators and the views of some central bank divisions in assembling the list, he told Dhaka Tribune: "Sustainability ratings are founded on several indicators, including CSR spending, GF, core b</w:t>
      </w:r>
      <w:r w:rsidR="00E94002" w:rsidRPr="00350FE5">
        <w:t xml:space="preserve">anking moves, and default </w:t>
      </w:r>
      <w:r w:rsidR="00012D5D" w:rsidRPr="00350FE5">
        <w:t>rate. “Hopefully</w:t>
      </w:r>
      <w:r w:rsidR="006F7FDE" w:rsidRPr="00350FE5">
        <w:t xml:space="preserve">, this rating will boost the formation of virtue and good governance in the actions of banks and FIs. In addition, Islam added that CSR will play a more pioneering role in spending and GF. </w:t>
      </w:r>
      <w:r w:rsidR="00E43DD3" w:rsidRPr="00350FE5">
        <w:t>The</w:t>
      </w:r>
      <w:r w:rsidR="006F7FDE" w:rsidRPr="00350FE5">
        <w:t xml:space="preserve"> top 10 sustainable banks were reported for the first time in 2020. ttps://www.dhakatribune.com/273013</w:t>
      </w:r>
    </w:p>
    <w:p w:rsidR="00012D5D" w:rsidRPr="00350FE5" w:rsidRDefault="00012D5D" w:rsidP="009B4300">
      <w:pPr>
        <w:spacing w:after="0" w:line="276" w:lineRule="auto"/>
        <w:contextualSpacing/>
        <w:jc w:val="both"/>
      </w:pPr>
    </w:p>
    <w:p w:rsidR="006F7FDE" w:rsidRPr="00350FE5" w:rsidRDefault="006F7FDE" w:rsidP="009B4300">
      <w:pPr>
        <w:spacing w:after="0" w:line="276" w:lineRule="auto"/>
        <w:jc w:val="both"/>
        <w:rPr>
          <w:b/>
          <w:bCs/>
        </w:rPr>
      </w:pPr>
      <w:r w:rsidRPr="00350FE5">
        <w:rPr>
          <w:rFonts w:eastAsia="Times New Roman"/>
          <w:b/>
        </w:rPr>
        <w:t xml:space="preserve"> </w:t>
      </w:r>
      <w:r w:rsidR="00F31428">
        <w:rPr>
          <w:rFonts w:eastAsia="Times New Roman"/>
          <w:b/>
        </w:rPr>
        <w:t xml:space="preserve">4.13 </w:t>
      </w:r>
      <w:r w:rsidRPr="00350FE5">
        <w:rPr>
          <w:rFonts w:eastAsia="Times New Roman"/>
          <w:b/>
        </w:rPr>
        <w:t>In-House Year-wise GB</w:t>
      </w:r>
      <w:r w:rsidR="003953D7" w:rsidRPr="00350FE5">
        <w:rPr>
          <w:rFonts w:eastAsia="Times New Roman"/>
          <w:b/>
        </w:rPr>
        <w:t xml:space="preserve"> Initiativ</w:t>
      </w:r>
      <w:r w:rsidRPr="00350FE5">
        <w:rPr>
          <w:rFonts w:eastAsia="Times New Roman"/>
          <w:b/>
        </w:rPr>
        <w:t xml:space="preserve">es by Banks in Bangladesh </w:t>
      </w:r>
    </w:p>
    <w:p w:rsidR="006F7FDE" w:rsidRPr="00350FE5" w:rsidRDefault="00E94002" w:rsidP="009B4300">
      <w:pPr>
        <w:pStyle w:val="Default"/>
        <w:spacing w:line="276" w:lineRule="auto"/>
        <w:contextualSpacing/>
        <w:jc w:val="both"/>
        <w:rPr>
          <w:rFonts w:eastAsia="Times New Roman"/>
          <w:color w:val="000000" w:themeColor="text1"/>
        </w:rPr>
      </w:pPr>
      <w:r w:rsidRPr="00350FE5">
        <w:rPr>
          <w:rFonts w:eastAsia="Times New Roman"/>
          <w:color w:val="000000" w:themeColor="text1"/>
        </w:rPr>
        <w:t>Table 8</w:t>
      </w:r>
      <w:r w:rsidR="006F7FDE" w:rsidRPr="00350FE5">
        <w:rPr>
          <w:rFonts w:eastAsia="Times New Roman"/>
          <w:color w:val="000000" w:themeColor="text1"/>
        </w:rPr>
        <w:t>: In-house green banking activities</w:t>
      </w:r>
    </w:p>
    <w:tbl>
      <w:tblPr>
        <w:tblW w:w="5000" w:type="pct"/>
        <w:tblLook w:val="04A0" w:firstRow="1" w:lastRow="0" w:firstColumn="1" w:lastColumn="0" w:noHBand="0" w:noVBand="1"/>
      </w:tblPr>
      <w:tblGrid>
        <w:gridCol w:w="4002"/>
        <w:gridCol w:w="747"/>
        <w:gridCol w:w="747"/>
        <w:gridCol w:w="1012"/>
        <w:gridCol w:w="747"/>
        <w:gridCol w:w="1049"/>
      </w:tblGrid>
      <w:tr w:rsidR="006F7FDE" w:rsidRPr="00350FE5" w:rsidTr="0064112C">
        <w:trPr>
          <w:trHeight w:val="300"/>
        </w:trPr>
        <w:tc>
          <w:tcPr>
            <w:tcW w:w="2411" w:type="pct"/>
            <w:tcBorders>
              <w:top w:val="nil"/>
              <w:left w:val="nil"/>
              <w:bottom w:val="nil"/>
              <w:right w:val="nil"/>
            </w:tcBorders>
            <w:shd w:val="clear" w:color="auto" w:fill="auto"/>
            <w:noWrap/>
            <w:vAlign w:val="bottom"/>
            <w:hideMark/>
          </w:tcPr>
          <w:p w:rsidR="006F7FDE" w:rsidRPr="00350FE5" w:rsidRDefault="006F7FDE" w:rsidP="009B4300">
            <w:pPr>
              <w:spacing w:after="0" w:line="276" w:lineRule="auto"/>
              <w:jc w:val="both"/>
              <w:rPr>
                <w:rFonts w:eastAsia="Times New Roman"/>
                <w:b/>
                <w:color w:val="FFFFFF" w:themeColor="background1"/>
              </w:rPr>
            </w:pPr>
          </w:p>
        </w:tc>
        <w:tc>
          <w:tcPr>
            <w:tcW w:w="451" w:type="pct"/>
            <w:tcBorders>
              <w:top w:val="single" w:sz="4" w:space="0" w:color="9BC2E6"/>
              <w:left w:val="nil"/>
              <w:bottom w:val="single" w:sz="4" w:space="0" w:color="9BC2E6"/>
              <w:right w:val="nil"/>
            </w:tcBorders>
            <w:shd w:val="clear" w:color="5B9BD5" w:fill="5B9BD5"/>
            <w:noWrap/>
            <w:vAlign w:val="bottom"/>
            <w:hideMark/>
          </w:tcPr>
          <w:p w:rsidR="006F7FDE" w:rsidRPr="00350FE5" w:rsidRDefault="006F7FDE" w:rsidP="009B4300">
            <w:pPr>
              <w:spacing w:after="0" w:line="276" w:lineRule="auto"/>
              <w:jc w:val="both"/>
              <w:rPr>
                <w:rFonts w:eastAsia="Times New Roman"/>
                <w:b/>
                <w:bCs/>
                <w:color w:val="FFFFFF" w:themeColor="background1"/>
              </w:rPr>
            </w:pPr>
            <w:r w:rsidRPr="00350FE5">
              <w:rPr>
                <w:rFonts w:eastAsia="Times New Roman"/>
                <w:b/>
                <w:bCs/>
                <w:color w:val="FFFFFF" w:themeColor="background1"/>
              </w:rPr>
              <w:t>Q</w:t>
            </w:r>
            <w:r w:rsidRPr="00350FE5">
              <w:rPr>
                <w:rFonts w:eastAsia="Times New Roman"/>
                <w:b/>
                <w:bCs/>
                <w:color w:val="FFFFFF" w:themeColor="background1"/>
                <w:vertAlign w:val="subscript"/>
              </w:rPr>
              <w:t>4</w:t>
            </w:r>
          </w:p>
        </w:tc>
        <w:tc>
          <w:tcPr>
            <w:tcW w:w="449" w:type="pct"/>
            <w:tcBorders>
              <w:top w:val="single" w:sz="4" w:space="0" w:color="9BC2E6"/>
              <w:left w:val="nil"/>
              <w:bottom w:val="single" w:sz="4" w:space="0" w:color="9BC2E6"/>
              <w:right w:val="nil"/>
            </w:tcBorders>
            <w:shd w:val="clear" w:color="5B9BD5" w:fill="5B9BD5"/>
            <w:noWrap/>
            <w:vAlign w:val="bottom"/>
          </w:tcPr>
          <w:p w:rsidR="006F7FDE" w:rsidRPr="00350FE5" w:rsidRDefault="006F7FDE" w:rsidP="009B4300">
            <w:pPr>
              <w:spacing w:after="0" w:line="276" w:lineRule="auto"/>
              <w:jc w:val="both"/>
              <w:rPr>
                <w:rFonts w:eastAsia="Times New Roman"/>
                <w:b/>
                <w:bCs/>
                <w:color w:val="FFFFFF" w:themeColor="background1"/>
              </w:rPr>
            </w:pPr>
            <w:r w:rsidRPr="00350FE5">
              <w:rPr>
                <w:rFonts w:eastAsia="Times New Roman"/>
                <w:b/>
                <w:bCs/>
                <w:color w:val="FFFFFF" w:themeColor="background1"/>
              </w:rPr>
              <w:t>2023</w:t>
            </w:r>
          </w:p>
        </w:tc>
        <w:tc>
          <w:tcPr>
            <w:tcW w:w="609" w:type="pct"/>
            <w:tcBorders>
              <w:top w:val="single" w:sz="4" w:space="0" w:color="9BC2E6"/>
              <w:left w:val="nil"/>
              <w:bottom w:val="single" w:sz="4" w:space="0" w:color="9BC2E6"/>
              <w:right w:val="nil"/>
            </w:tcBorders>
            <w:shd w:val="clear" w:color="5B9BD5" w:fill="5B9BD5"/>
            <w:noWrap/>
            <w:vAlign w:val="bottom"/>
          </w:tcPr>
          <w:p w:rsidR="006F7FDE" w:rsidRPr="00350FE5" w:rsidRDefault="006F7FDE" w:rsidP="009B4300">
            <w:pPr>
              <w:spacing w:after="0" w:line="276" w:lineRule="auto"/>
              <w:jc w:val="both"/>
              <w:rPr>
                <w:rFonts w:eastAsia="Times New Roman"/>
                <w:b/>
                <w:bCs/>
                <w:color w:val="FFFFFF" w:themeColor="background1"/>
              </w:rPr>
            </w:pPr>
          </w:p>
        </w:tc>
        <w:tc>
          <w:tcPr>
            <w:tcW w:w="449" w:type="pct"/>
            <w:tcBorders>
              <w:top w:val="single" w:sz="4" w:space="0" w:color="9BC2E6"/>
              <w:left w:val="nil"/>
              <w:bottom w:val="single" w:sz="4" w:space="0" w:color="9BC2E6"/>
              <w:right w:val="nil"/>
            </w:tcBorders>
            <w:shd w:val="clear" w:color="5B9BD5" w:fill="5B9BD5"/>
            <w:noWrap/>
            <w:vAlign w:val="bottom"/>
          </w:tcPr>
          <w:p w:rsidR="006F7FDE" w:rsidRPr="00350FE5" w:rsidRDefault="006F7FDE" w:rsidP="009B4300">
            <w:pPr>
              <w:spacing w:after="0" w:line="276" w:lineRule="auto"/>
              <w:jc w:val="both"/>
              <w:rPr>
                <w:rFonts w:eastAsia="Times New Roman"/>
                <w:b/>
                <w:bCs/>
                <w:color w:val="FFFFFF" w:themeColor="background1"/>
              </w:rPr>
            </w:pPr>
          </w:p>
        </w:tc>
        <w:tc>
          <w:tcPr>
            <w:tcW w:w="631" w:type="pct"/>
            <w:tcBorders>
              <w:top w:val="single" w:sz="4" w:space="0" w:color="9BC2E6"/>
              <w:left w:val="nil"/>
              <w:bottom w:val="single" w:sz="4" w:space="0" w:color="9BC2E6"/>
              <w:right w:val="single" w:sz="4" w:space="0" w:color="9BC2E6"/>
            </w:tcBorders>
            <w:shd w:val="clear" w:color="5B9BD5" w:fill="5B9BD5"/>
            <w:noWrap/>
            <w:vAlign w:val="bottom"/>
          </w:tcPr>
          <w:p w:rsidR="006F7FDE" w:rsidRPr="00350FE5" w:rsidRDefault="006F7FDE" w:rsidP="009B4300">
            <w:pPr>
              <w:spacing w:after="0" w:line="276" w:lineRule="auto"/>
              <w:jc w:val="both"/>
              <w:rPr>
                <w:rFonts w:eastAsia="Times New Roman"/>
                <w:b/>
                <w:bCs/>
                <w:color w:val="FFFFFF" w:themeColor="background1"/>
              </w:rPr>
            </w:pPr>
          </w:p>
        </w:tc>
      </w:tr>
      <w:tr w:rsidR="006F7FDE" w:rsidRPr="00350FE5" w:rsidTr="0064112C">
        <w:trPr>
          <w:trHeight w:val="420"/>
        </w:trPr>
        <w:tc>
          <w:tcPr>
            <w:tcW w:w="2411" w:type="pct"/>
            <w:tcBorders>
              <w:top w:val="single" w:sz="4" w:space="0" w:color="9BC2E6"/>
              <w:left w:val="single" w:sz="4" w:space="0" w:color="9BC2E6"/>
              <w:bottom w:val="single" w:sz="4" w:space="0" w:color="9BC2E6"/>
              <w:right w:val="nil"/>
            </w:tcBorders>
            <w:shd w:val="clear" w:color="DDEBF7" w:fill="DDEBF7"/>
            <w:noWrap/>
            <w:vAlign w:val="bottom"/>
            <w:hideMark/>
          </w:tcPr>
          <w:p w:rsidR="006F7FDE" w:rsidRPr="00350FE5" w:rsidRDefault="006F7FDE" w:rsidP="009B4300">
            <w:pPr>
              <w:spacing w:after="0" w:line="276" w:lineRule="auto"/>
              <w:jc w:val="both"/>
              <w:rPr>
                <w:rFonts w:eastAsia="Times New Roman"/>
                <w:bCs/>
              </w:rPr>
            </w:pPr>
            <w:r w:rsidRPr="00350FE5">
              <w:rPr>
                <w:rFonts w:eastAsia="Times New Roman"/>
                <w:bCs/>
              </w:rPr>
              <w:t>Activities</w:t>
            </w:r>
          </w:p>
        </w:tc>
        <w:tc>
          <w:tcPr>
            <w:tcW w:w="451" w:type="pct"/>
            <w:tcBorders>
              <w:top w:val="nil"/>
              <w:left w:val="nil"/>
              <w:bottom w:val="single" w:sz="4" w:space="0" w:color="9BC2E6"/>
              <w:right w:val="nil"/>
            </w:tcBorders>
            <w:shd w:val="clear" w:color="DDEBF7" w:fill="DDEBF7"/>
            <w:noWrap/>
            <w:vAlign w:val="bottom"/>
            <w:hideMark/>
          </w:tcPr>
          <w:p w:rsidR="006F7FDE" w:rsidRPr="00350FE5" w:rsidRDefault="006F7FDE" w:rsidP="009B4300">
            <w:pPr>
              <w:spacing w:after="0" w:line="276" w:lineRule="auto"/>
              <w:jc w:val="both"/>
              <w:rPr>
                <w:rFonts w:eastAsia="Times New Roman"/>
              </w:rPr>
            </w:pPr>
            <w:r w:rsidRPr="00350FE5">
              <w:rPr>
                <w:rFonts w:eastAsia="Times New Roman"/>
              </w:rPr>
              <w:t>SOCBs</w:t>
            </w:r>
          </w:p>
        </w:tc>
        <w:tc>
          <w:tcPr>
            <w:tcW w:w="449" w:type="pct"/>
            <w:tcBorders>
              <w:top w:val="nil"/>
              <w:left w:val="nil"/>
              <w:bottom w:val="single" w:sz="4" w:space="0" w:color="9BC2E6"/>
              <w:right w:val="nil"/>
            </w:tcBorders>
            <w:shd w:val="clear" w:color="DDEBF7" w:fill="DDEBF7"/>
            <w:noWrap/>
            <w:vAlign w:val="bottom"/>
            <w:hideMark/>
          </w:tcPr>
          <w:p w:rsidR="006F7FDE" w:rsidRPr="00350FE5" w:rsidRDefault="006F7FDE" w:rsidP="009B4300">
            <w:pPr>
              <w:spacing w:after="0" w:line="276" w:lineRule="auto"/>
              <w:jc w:val="both"/>
              <w:rPr>
                <w:rFonts w:eastAsia="Times New Roman"/>
              </w:rPr>
            </w:pPr>
            <w:r w:rsidRPr="00350FE5">
              <w:rPr>
                <w:rFonts w:eastAsia="Times New Roman"/>
              </w:rPr>
              <w:t>SDBs</w:t>
            </w:r>
          </w:p>
        </w:tc>
        <w:tc>
          <w:tcPr>
            <w:tcW w:w="609" w:type="pct"/>
            <w:tcBorders>
              <w:top w:val="nil"/>
              <w:left w:val="nil"/>
              <w:bottom w:val="single" w:sz="4" w:space="0" w:color="9BC2E6"/>
              <w:right w:val="nil"/>
            </w:tcBorders>
            <w:shd w:val="clear" w:color="DDEBF7" w:fill="DDEBF7"/>
            <w:noWrap/>
            <w:vAlign w:val="bottom"/>
            <w:hideMark/>
          </w:tcPr>
          <w:p w:rsidR="006F7FDE" w:rsidRPr="00350FE5" w:rsidRDefault="006F7FDE" w:rsidP="009B4300">
            <w:pPr>
              <w:spacing w:after="0" w:line="276" w:lineRule="auto"/>
              <w:jc w:val="both"/>
              <w:rPr>
                <w:rFonts w:eastAsia="Times New Roman"/>
              </w:rPr>
            </w:pPr>
            <w:r w:rsidRPr="00350FE5">
              <w:rPr>
                <w:rFonts w:eastAsia="Times New Roman"/>
              </w:rPr>
              <w:t>PCBs</w:t>
            </w:r>
          </w:p>
        </w:tc>
        <w:tc>
          <w:tcPr>
            <w:tcW w:w="449" w:type="pct"/>
            <w:tcBorders>
              <w:top w:val="nil"/>
              <w:left w:val="nil"/>
              <w:bottom w:val="single" w:sz="4" w:space="0" w:color="9BC2E6"/>
              <w:right w:val="nil"/>
            </w:tcBorders>
            <w:shd w:val="clear" w:color="DDEBF7" w:fill="DDEBF7"/>
            <w:noWrap/>
            <w:vAlign w:val="bottom"/>
            <w:hideMark/>
          </w:tcPr>
          <w:p w:rsidR="006F7FDE" w:rsidRPr="00350FE5" w:rsidRDefault="006F7FDE" w:rsidP="009B4300">
            <w:pPr>
              <w:spacing w:after="0" w:line="276" w:lineRule="auto"/>
              <w:jc w:val="both"/>
              <w:rPr>
                <w:rFonts w:eastAsia="Times New Roman"/>
              </w:rPr>
            </w:pPr>
            <w:r w:rsidRPr="00350FE5">
              <w:rPr>
                <w:rFonts w:eastAsia="Times New Roman"/>
              </w:rPr>
              <w:t>FCBs</w:t>
            </w:r>
          </w:p>
        </w:tc>
        <w:tc>
          <w:tcPr>
            <w:tcW w:w="631" w:type="pct"/>
            <w:tcBorders>
              <w:top w:val="nil"/>
              <w:left w:val="nil"/>
              <w:bottom w:val="single" w:sz="4" w:space="0" w:color="9BC2E6"/>
              <w:right w:val="single" w:sz="4" w:space="0" w:color="9BC2E6"/>
            </w:tcBorders>
            <w:shd w:val="clear" w:color="DDEBF7" w:fill="DDEBF7"/>
            <w:noWrap/>
            <w:vAlign w:val="bottom"/>
            <w:hideMark/>
          </w:tcPr>
          <w:p w:rsidR="006F7FDE" w:rsidRPr="00350FE5" w:rsidRDefault="006F7FDE" w:rsidP="009B4300">
            <w:pPr>
              <w:spacing w:after="0" w:line="276" w:lineRule="auto"/>
              <w:jc w:val="both"/>
              <w:rPr>
                <w:rFonts w:eastAsia="Times New Roman"/>
              </w:rPr>
            </w:pPr>
            <w:r w:rsidRPr="00350FE5">
              <w:rPr>
                <w:rFonts w:eastAsia="Times New Roman"/>
              </w:rPr>
              <w:t>Bank's total</w:t>
            </w:r>
          </w:p>
        </w:tc>
      </w:tr>
      <w:tr w:rsidR="006F7FDE" w:rsidRPr="00350FE5" w:rsidTr="0064112C">
        <w:trPr>
          <w:trHeight w:val="300"/>
        </w:trPr>
        <w:tc>
          <w:tcPr>
            <w:tcW w:w="2411" w:type="pct"/>
            <w:tcBorders>
              <w:top w:val="nil"/>
              <w:left w:val="single" w:sz="4" w:space="0" w:color="9BC2E6"/>
              <w:bottom w:val="single" w:sz="4" w:space="0" w:color="9BC2E6"/>
              <w:right w:val="nil"/>
            </w:tcBorders>
            <w:shd w:val="clear" w:color="auto" w:fill="auto"/>
            <w:noWrap/>
            <w:vAlign w:val="bottom"/>
            <w:hideMark/>
          </w:tcPr>
          <w:p w:rsidR="006F7FDE" w:rsidRPr="00350FE5" w:rsidRDefault="006F7FDE" w:rsidP="009B4300">
            <w:pPr>
              <w:spacing w:after="0" w:line="276" w:lineRule="auto"/>
              <w:jc w:val="both"/>
              <w:rPr>
                <w:rFonts w:eastAsia="Times New Roman"/>
              </w:rPr>
            </w:pPr>
            <w:r w:rsidRPr="00350FE5">
              <w:rPr>
                <w:rFonts w:eastAsia="Times New Roman"/>
              </w:rPr>
              <w:t>1. Number of Branches</w:t>
            </w:r>
          </w:p>
        </w:tc>
        <w:tc>
          <w:tcPr>
            <w:tcW w:w="451" w:type="pct"/>
            <w:tcBorders>
              <w:top w:val="nil"/>
              <w:left w:val="nil"/>
              <w:bottom w:val="single" w:sz="4" w:space="0" w:color="9BC2E6"/>
              <w:right w:val="nil"/>
            </w:tcBorders>
            <w:shd w:val="clear" w:color="auto" w:fill="auto"/>
            <w:noWrap/>
            <w:vAlign w:val="bottom"/>
            <w:hideMark/>
          </w:tcPr>
          <w:p w:rsidR="006F7FDE" w:rsidRPr="00350FE5" w:rsidRDefault="006F7FDE" w:rsidP="009B4300">
            <w:pPr>
              <w:spacing w:after="0" w:line="276" w:lineRule="auto"/>
              <w:jc w:val="both"/>
              <w:rPr>
                <w:rFonts w:eastAsia="Times New Roman"/>
              </w:rPr>
            </w:pPr>
            <w:r w:rsidRPr="00350FE5">
              <w:rPr>
                <w:rFonts w:eastAsia="Times New Roman"/>
              </w:rPr>
              <w:t>3835</w:t>
            </w:r>
          </w:p>
        </w:tc>
        <w:tc>
          <w:tcPr>
            <w:tcW w:w="449" w:type="pct"/>
            <w:tcBorders>
              <w:top w:val="nil"/>
              <w:left w:val="nil"/>
              <w:bottom w:val="single" w:sz="4" w:space="0" w:color="9BC2E6"/>
              <w:right w:val="nil"/>
            </w:tcBorders>
            <w:shd w:val="clear" w:color="auto" w:fill="auto"/>
            <w:noWrap/>
            <w:vAlign w:val="bottom"/>
            <w:hideMark/>
          </w:tcPr>
          <w:p w:rsidR="006F7FDE" w:rsidRPr="00350FE5" w:rsidRDefault="006F7FDE" w:rsidP="009B4300">
            <w:pPr>
              <w:spacing w:after="0" w:line="276" w:lineRule="auto"/>
              <w:jc w:val="both"/>
              <w:rPr>
                <w:rFonts w:eastAsia="Times New Roman"/>
              </w:rPr>
            </w:pPr>
            <w:r w:rsidRPr="00350FE5">
              <w:rPr>
                <w:rFonts w:eastAsia="Times New Roman"/>
              </w:rPr>
              <w:t>1541</w:t>
            </w:r>
          </w:p>
        </w:tc>
        <w:tc>
          <w:tcPr>
            <w:tcW w:w="609" w:type="pct"/>
            <w:tcBorders>
              <w:top w:val="nil"/>
              <w:left w:val="nil"/>
              <w:bottom w:val="single" w:sz="4" w:space="0" w:color="9BC2E6"/>
              <w:right w:val="nil"/>
            </w:tcBorders>
            <w:shd w:val="clear" w:color="auto" w:fill="auto"/>
            <w:noWrap/>
            <w:vAlign w:val="bottom"/>
            <w:hideMark/>
          </w:tcPr>
          <w:p w:rsidR="006F7FDE" w:rsidRPr="00350FE5" w:rsidRDefault="006F7FDE" w:rsidP="009B4300">
            <w:pPr>
              <w:spacing w:after="0" w:line="276" w:lineRule="auto"/>
              <w:jc w:val="both"/>
              <w:rPr>
                <w:rFonts w:eastAsia="Times New Roman"/>
              </w:rPr>
            </w:pPr>
            <w:r w:rsidRPr="00350FE5">
              <w:rPr>
                <w:rFonts w:eastAsia="Times New Roman"/>
              </w:rPr>
              <w:t>4217</w:t>
            </w:r>
          </w:p>
        </w:tc>
        <w:tc>
          <w:tcPr>
            <w:tcW w:w="449" w:type="pct"/>
            <w:tcBorders>
              <w:top w:val="nil"/>
              <w:left w:val="nil"/>
              <w:bottom w:val="single" w:sz="4" w:space="0" w:color="9BC2E6"/>
              <w:right w:val="nil"/>
            </w:tcBorders>
            <w:shd w:val="clear" w:color="auto" w:fill="auto"/>
            <w:noWrap/>
            <w:vAlign w:val="bottom"/>
            <w:hideMark/>
          </w:tcPr>
          <w:p w:rsidR="006F7FDE" w:rsidRPr="00350FE5" w:rsidRDefault="006F7FDE" w:rsidP="009B4300">
            <w:pPr>
              <w:spacing w:after="0" w:line="276" w:lineRule="auto"/>
              <w:jc w:val="both"/>
              <w:rPr>
                <w:rFonts w:eastAsia="Times New Roman"/>
              </w:rPr>
            </w:pPr>
            <w:r w:rsidRPr="00350FE5">
              <w:rPr>
                <w:rFonts w:eastAsia="Times New Roman"/>
              </w:rPr>
              <w:t>69</w:t>
            </w:r>
          </w:p>
        </w:tc>
        <w:tc>
          <w:tcPr>
            <w:tcW w:w="631" w:type="pct"/>
            <w:tcBorders>
              <w:top w:val="nil"/>
              <w:left w:val="nil"/>
              <w:bottom w:val="single" w:sz="4" w:space="0" w:color="9BC2E6"/>
              <w:right w:val="single" w:sz="4" w:space="0" w:color="9BC2E6"/>
            </w:tcBorders>
            <w:shd w:val="clear" w:color="auto" w:fill="auto"/>
            <w:noWrap/>
            <w:vAlign w:val="bottom"/>
            <w:hideMark/>
          </w:tcPr>
          <w:p w:rsidR="006F7FDE" w:rsidRPr="00350FE5" w:rsidRDefault="006F7FDE" w:rsidP="009B4300">
            <w:pPr>
              <w:spacing w:after="0" w:line="276" w:lineRule="auto"/>
              <w:jc w:val="both"/>
              <w:rPr>
                <w:rFonts w:eastAsia="Times New Roman"/>
              </w:rPr>
            </w:pPr>
            <w:r w:rsidRPr="00350FE5">
              <w:rPr>
                <w:rFonts w:eastAsia="Times New Roman"/>
              </w:rPr>
              <w:t>9662</w:t>
            </w:r>
          </w:p>
        </w:tc>
      </w:tr>
      <w:tr w:rsidR="006F7FDE" w:rsidRPr="00350FE5" w:rsidTr="0064112C">
        <w:trPr>
          <w:trHeight w:val="300"/>
        </w:trPr>
        <w:tc>
          <w:tcPr>
            <w:tcW w:w="2411" w:type="pct"/>
            <w:tcBorders>
              <w:top w:val="nil"/>
              <w:left w:val="single" w:sz="4" w:space="0" w:color="9BC2E6"/>
              <w:bottom w:val="single" w:sz="4" w:space="0" w:color="9BC2E6"/>
              <w:right w:val="nil"/>
            </w:tcBorders>
            <w:shd w:val="clear" w:color="DDEBF7" w:fill="DDEBF7"/>
            <w:noWrap/>
            <w:vAlign w:val="bottom"/>
            <w:hideMark/>
          </w:tcPr>
          <w:p w:rsidR="006F7FDE" w:rsidRPr="00350FE5" w:rsidRDefault="006F7FDE" w:rsidP="009B4300">
            <w:pPr>
              <w:spacing w:after="0" w:line="276" w:lineRule="auto"/>
              <w:jc w:val="both"/>
              <w:rPr>
                <w:rFonts w:eastAsia="Times New Roman"/>
              </w:rPr>
            </w:pPr>
            <w:r w:rsidRPr="00350FE5">
              <w:rPr>
                <w:rFonts w:eastAsia="Times New Roman"/>
              </w:rPr>
              <w:t>2. Number of Branches Powered by Solar Energy</w:t>
            </w:r>
          </w:p>
        </w:tc>
        <w:tc>
          <w:tcPr>
            <w:tcW w:w="451" w:type="pct"/>
            <w:tcBorders>
              <w:top w:val="nil"/>
              <w:left w:val="nil"/>
              <w:bottom w:val="single" w:sz="4" w:space="0" w:color="9BC2E6"/>
              <w:right w:val="nil"/>
            </w:tcBorders>
            <w:shd w:val="clear" w:color="DDEBF7" w:fill="DDEBF7"/>
            <w:noWrap/>
            <w:vAlign w:val="bottom"/>
            <w:hideMark/>
          </w:tcPr>
          <w:p w:rsidR="006F7FDE" w:rsidRPr="00350FE5" w:rsidRDefault="006F7FDE" w:rsidP="009B4300">
            <w:pPr>
              <w:spacing w:after="0" w:line="276" w:lineRule="auto"/>
              <w:jc w:val="both"/>
              <w:rPr>
                <w:rFonts w:eastAsia="Times New Roman"/>
              </w:rPr>
            </w:pPr>
            <w:r w:rsidRPr="00350FE5">
              <w:rPr>
                <w:rFonts w:eastAsia="Times New Roman"/>
              </w:rPr>
              <w:t>80</w:t>
            </w:r>
          </w:p>
        </w:tc>
        <w:tc>
          <w:tcPr>
            <w:tcW w:w="449" w:type="pct"/>
            <w:tcBorders>
              <w:top w:val="nil"/>
              <w:left w:val="nil"/>
              <w:bottom w:val="single" w:sz="4" w:space="0" w:color="9BC2E6"/>
              <w:right w:val="nil"/>
            </w:tcBorders>
            <w:shd w:val="clear" w:color="DDEBF7" w:fill="DDEBF7"/>
            <w:noWrap/>
            <w:vAlign w:val="bottom"/>
            <w:hideMark/>
          </w:tcPr>
          <w:p w:rsidR="006F7FDE" w:rsidRPr="00350FE5" w:rsidRDefault="006F7FDE" w:rsidP="009B4300">
            <w:pPr>
              <w:spacing w:after="0" w:line="276" w:lineRule="auto"/>
              <w:jc w:val="both"/>
              <w:rPr>
                <w:rFonts w:eastAsia="Times New Roman"/>
              </w:rPr>
            </w:pPr>
            <w:r w:rsidRPr="00350FE5">
              <w:rPr>
                <w:rFonts w:eastAsia="Times New Roman"/>
              </w:rPr>
              <w:t>0</w:t>
            </w:r>
          </w:p>
        </w:tc>
        <w:tc>
          <w:tcPr>
            <w:tcW w:w="609" w:type="pct"/>
            <w:tcBorders>
              <w:top w:val="nil"/>
              <w:left w:val="nil"/>
              <w:bottom w:val="single" w:sz="4" w:space="0" w:color="9BC2E6"/>
              <w:right w:val="nil"/>
            </w:tcBorders>
            <w:shd w:val="clear" w:color="DDEBF7" w:fill="DDEBF7"/>
            <w:noWrap/>
            <w:vAlign w:val="bottom"/>
            <w:hideMark/>
          </w:tcPr>
          <w:p w:rsidR="006F7FDE" w:rsidRPr="00350FE5" w:rsidRDefault="006F7FDE" w:rsidP="009B4300">
            <w:pPr>
              <w:spacing w:after="0" w:line="276" w:lineRule="auto"/>
              <w:jc w:val="both"/>
              <w:rPr>
                <w:rFonts w:eastAsia="Times New Roman"/>
              </w:rPr>
            </w:pPr>
            <w:r w:rsidRPr="00350FE5">
              <w:rPr>
                <w:rFonts w:eastAsia="Times New Roman"/>
              </w:rPr>
              <w:t>339</w:t>
            </w:r>
          </w:p>
        </w:tc>
        <w:tc>
          <w:tcPr>
            <w:tcW w:w="449" w:type="pct"/>
            <w:tcBorders>
              <w:top w:val="nil"/>
              <w:left w:val="nil"/>
              <w:bottom w:val="single" w:sz="4" w:space="0" w:color="9BC2E6"/>
              <w:right w:val="nil"/>
            </w:tcBorders>
            <w:shd w:val="clear" w:color="DDEBF7" w:fill="DDEBF7"/>
            <w:noWrap/>
            <w:vAlign w:val="bottom"/>
            <w:hideMark/>
          </w:tcPr>
          <w:p w:rsidR="006F7FDE" w:rsidRPr="00350FE5" w:rsidRDefault="006F7FDE" w:rsidP="009B4300">
            <w:pPr>
              <w:spacing w:after="0" w:line="276" w:lineRule="auto"/>
              <w:jc w:val="both"/>
              <w:rPr>
                <w:rFonts w:eastAsia="Times New Roman"/>
              </w:rPr>
            </w:pPr>
            <w:r w:rsidRPr="00350FE5">
              <w:rPr>
                <w:rFonts w:eastAsia="Times New Roman"/>
              </w:rPr>
              <w:t>8</w:t>
            </w:r>
          </w:p>
        </w:tc>
        <w:tc>
          <w:tcPr>
            <w:tcW w:w="631" w:type="pct"/>
            <w:tcBorders>
              <w:top w:val="nil"/>
              <w:left w:val="nil"/>
              <w:bottom w:val="single" w:sz="4" w:space="0" w:color="9BC2E6"/>
              <w:right w:val="single" w:sz="4" w:space="0" w:color="9BC2E6"/>
            </w:tcBorders>
            <w:shd w:val="clear" w:color="DDEBF7" w:fill="DDEBF7"/>
            <w:noWrap/>
            <w:vAlign w:val="bottom"/>
            <w:hideMark/>
          </w:tcPr>
          <w:p w:rsidR="006F7FDE" w:rsidRPr="00350FE5" w:rsidRDefault="006F7FDE" w:rsidP="009B4300">
            <w:pPr>
              <w:spacing w:after="0" w:line="276" w:lineRule="auto"/>
              <w:jc w:val="both"/>
              <w:rPr>
                <w:rFonts w:eastAsia="Times New Roman"/>
              </w:rPr>
            </w:pPr>
            <w:r w:rsidRPr="00350FE5">
              <w:rPr>
                <w:rFonts w:eastAsia="Times New Roman"/>
              </w:rPr>
              <w:t>427</w:t>
            </w:r>
          </w:p>
        </w:tc>
      </w:tr>
      <w:tr w:rsidR="006F7FDE" w:rsidRPr="00350FE5" w:rsidTr="0064112C">
        <w:trPr>
          <w:trHeight w:val="300"/>
        </w:trPr>
        <w:tc>
          <w:tcPr>
            <w:tcW w:w="2411" w:type="pct"/>
            <w:tcBorders>
              <w:top w:val="nil"/>
              <w:left w:val="single" w:sz="4" w:space="0" w:color="9BC2E6"/>
              <w:bottom w:val="single" w:sz="4" w:space="0" w:color="9BC2E6"/>
              <w:right w:val="nil"/>
            </w:tcBorders>
            <w:shd w:val="clear" w:color="auto" w:fill="auto"/>
            <w:noWrap/>
            <w:vAlign w:val="bottom"/>
            <w:hideMark/>
          </w:tcPr>
          <w:p w:rsidR="006F7FDE" w:rsidRPr="00350FE5" w:rsidRDefault="006F7FDE" w:rsidP="009B4300">
            <w:pPr>
              <w:spacing w:after="0" w:line="276" w:lineRule="auto"/>
              <w:jc w:val="both"/>
              <w:rPr>
                <w:rFonts w:eastAsia="Times New Roman"/>
              </w:rPr>
            </w:pPr>
            <w:r w:rsidRPr="00350FE5">
              <w:rPr>
                <w:rFonts w:eastAsia="Times New Roman"/>
              </w:rPr>
              <w:t>3. Number of Branches with rainwater harvest.</w:t>
            </w:r>
          </w:p>
        </w:tc>
        <w:tc>
          <w:tcPr>
            <w:tcW w:w="451" w:type="pct"/>
            <w:tcBorders>
              <w:top w:val="nil"/>
              <w:left w:val="nil"/>
              <w:bottom w:val="single" w:sz="4" w:space="0" w:color="9BC2E6"/>
              <w:right w:val="nil"/>
            </w:tcBorders>
            <w:shd w:val="clear" w:color="auto" w:fill="auto"/>
            <w:noWrap/>
            <w:vAlign w:val="bottom"/>
            <w:hideMark/>
          </w:tcPr>
          <w:p w:rsidR="006F7FDE" w:rsidRPr="00350FE5" w:rsidRDefault="006F7FDE" w:rsidP="009B4300">
            <w:pPr>
              <w:spacing w:after="0" w:line="276" w:lineRule="auto"/>
              <w:jc w:val="both"/>
              <w:rPr>
                <w:rFonts w:eastAsia="Times New Roman"/>
              </w:rPr>
            </w:pPr>
            <w:r w:rsidRPr="00350FE5">
              <w:rPr>
                <w:rFonts w:eastAsia="Times New Roman"/>
              </w:rPr>
              <w:t>0</w:t>
            </w:r>
          </w:p>
        </w:tc>
        <w:tc>
          <w:tcPr>
            <w:tcW w:w="449" w:type="pct"/>
            <w:tcBorders>
              <w:top w:val="nil"/>
              <w:left w:val="nil"/>
              <w:bottom w:val="single" w:sz="4" w:space="0" w:color="9BC2E6"/>
              <w:right w:val="nil"/>
            </w:tcBorders>
            <w:shd w:val="clear" w:color="auto" w:fill="auto"/>
            <w:noWrap/>
            <w:vAlign w:val="bottom"/>
            <w:hideMark/>
          </w:tcPr>
          <w:p w:rsidR="006F7FDE" w:rsidRPr="00350FE5" w:rsidRDefault="006F7FDE" w:rsidP="009B4300">
            <w:pPr>
              <w:spacing w:after="0" w:line="276" w:lineRule="auto"/>
              <w:jc w:val="both"/>
              <w:rPr>
                <w:rFonts w:eastAsia="Times New Roman"/>
              </w:rPr>
            </w:pPr>
            <w:r w:rsidRPr="00350FE5">
              <w:rPr>
                <w:rFonts w:eastAsia="Times New Roman"/>
              </w:rPr>
              <w:t>0</w:t>
            </w:r>
          </w:p>
        </w:tc>
        <w:tc>
          <w:tcPr>
            <w:tcW w:w="609" w:type="pct"/>
            <w:tcBorders>
              <w:top w:val="nil"/>
              <w:left w:val="nil"/>
              <w:bottom w:val="single" w:sz="4" w:space="0" w:color="9BC2E6"/>
              <w:right w:val="nil"/>
            </w:tcBorders>
            <w:shd w:val="clear" w:color="auto" w:fill="auto"/>
            <w:noWrap/>
            <w:vAlign w:val="bottom"/>
            <w:hideMark/>
          </w:tcPr>
          <w:p w:rsidR="006F7FDE" w:rsidRPr="00350FE5" w:rsidRDefault="006F7FDE" w:rsidP="009B4300">
            <w:pPr>
              <w:spacing w:after="0" w:line="276" w:lineRule="auto"/>
              <w:jc w:val="both"/>
              <w:rPr>
                <w:rFonts w:eastAsia="Times New Roman"/>
              </w:rPr>
            </w:pPr>
            <w:r w:rsidRPr="00350FE5">
              <w:rPr>
                <w:rFonts w:eastAsia="Times New Roman"/>
              </w:rPr>
              <w:t>4</w:t>
            </w:r>
          </w:p>
        </w:tc>
        <w:tc>
          <w:tcPr>
            <w:tcW w:w="449" w:type="pct"/>
            <w:tcBorders>
              <w:top w:val="nil"/>
              <w:left w:val="nil"/>
              <w:bottom w:val="single" w:sz="4" w:space="0" w:color="9BC2E6"/>
              <w:right w:val="nil"/>
            </w:tcBorders>
            <w:shd w:val="clear" w:color="auto" w:fill="auto"/>
            <w:noWrap/>
            <w:vAlign w:val="bottom"/>
            <w:hideMark/>
          </w:tcPr>
          <w:p w:rsidR="006F7FDE" w:rsidRPr="00350FE5" w:rsidRDefault="006F7FDE" w:rsidP="009B4300">
            <w:pPr>
              <w:spacing w:after="0" w:line="276" w:lineRule="auto"/>
              <w:jc w:val="both"/>
              <w:rPr>
                <w:rFonts w:eastAsia="Times New Roman"/>
              </w:rPr>
            </w:pPr>
            <w:r w:rsidRPr="00350FE5">
              <w:rPr>
                <w:rFonts w:eastAsia="Times New Roman"/>
              </w:rPr>
              <w:t>1</w:t>
            </w:r>
          </w:p>
        </w:tc>
        <w:tc>
          <w:tcPr>
            <w:tcW w:w="631" w:type="pct"/>
            <w:tcBorders>
              <w:top w:val="nil"/>
              <w:left w:val="nil"/>
              <w:bottom w:val="single" w:sz="4" w:space="0" w:color="9BC2E6"/>
              <w:right w:val="single" w:sz="4" w:space="0" w:color="9BC2E6"/>
            </w:tcBorders>
            <w:shd w:val="clear" w:color="auto" w:fill="auto"/>
            <w:noWrap/>
            <w:vAlign w:val="bottom"/>
            <w:hideMark/>
          </w:tcPr>
          <w:p w:rsidR="006F7FDE" w:rsidRPr="00350FE5" w:rsidRDefault="006F7FDE" w:rsidP="009B4300">
            <w:pPr>
              <w:spacing w:after="0" w:line="276" w:lineRule="auto"/>
              <w:jc w:val="both"/>
              <w:rPr>
                <w:rFonts w:eastAsia="Times New Roman"/>
              </w:rPr>
            </w:pPr>
            <w:r w:rsidRPr="00350FE5">
              <w:rPr>
                <w:rFonts w:eastAsia="Times New Roman"/>
              </w:rPr>
              <w:t>5</w:t>
            </w:r>
          </w:p>
        </w:tc>
      </w:tr>
      <w:tr w:rsidR="006F7FDE" w:rsidRPr="00350FE5" w:rsidTr="0064112C">
        <w:trPr>
          <w:trHeight w:val="375"/>
        </w:trPr>
        <w:tc>
          <w:tcPr>
            <w:tcW w:w="2411" w:type="pct"/>
            <w:tcBorders>
              <w:top w:val="nil"/>
              <w:left w:val="single" w:sz="4" w:space="0" w:color="9BC2E6"/>
              <w:bottom w:val="single" w:sz="4" w:space="0" w:color="9BC2E6"/>
              <w:right w:val="nil"/>
            </w:tcBorders>
            <w:shd w:val="clear" w:color="DDEBF7" w:fill="DDEBF7"/>
            <w:noWrap/>
            <w:vAlign w:val="bottom"/>
            <w:hideMark/>
          </w:tcPr>
          <w:p w:rsidR="006F7FDE" w:rsidRPr="00350FE5" w:rsidRDefault="006F7FDE" w:rsidP="009B4300">
            <w:pPr>
              <w:spacing w:after="0" w:line="276" w:lineRule="auto"/>
              <w:jc w:val="both"/>
              <w:rPr>
                <w:rFonts w:eastAsia="Times New Roman"/>
              </w:rPr>
            </w:pPr>
            <w:r w:rsidRPr="00350FE5">
              <w:rPr>
                <w:rFonts w:eastAsia="Times New Roman"/>
              </w:rPr>
              <w:t xml:space="preserve">4. Number of Branches with solid waste mgt. </w:t>
            </w:r>
          </w:p>
        </w:tc>
        <w:tc>
          <w:tcPr>
            <w:tcW w:w="451" w:type="pct"/>
            <w:tcBorders>
              <w:top w:val="nil"/>
              <w:left w:val="nil"/>
              <w:bottom w:val="single" w:sz="4" w:space="0" w:color="9BC2E6"/>
              <w:right w:val="nil"/>
            </w:tcBorders>
            <w:shd w:val="clear" w:color="DDEBF7" w:fill="DDEBF7"/>
            <w:noWrap/>
            <w:vAlign w:val="bottom"/>
            <w:hideMark/>
          </w:tcPr>
          <w:p w:rsidR="006F7FDE" w:rsidRPr="00350FE5" w:rsidRDefault="006F7FDE" w:rsidP="009B4300">
            <w:pPr>
              <w:spacing w:after="0" w:line="276" w:lineRule="auto"/>
              <w:jc w:val="both"/>
              <w:rPr>
                <w:rFonts w:eastAsia="Times New Roman"/>
              </w:rPr>
            </w:pPr>
            <w:r w:rsidRPr="00350FE5">
              <w:rPr>
                <w:rFonts w:eastAsia="Times New Roman"/>
              </w:rPr>
              <w:t>0</w:t>
            </w:r>
          </w:p>
        </w:tc>
        <w:tc>
          <w:tcPr>
            <w:tcW w:w="449" w:type="pct"/>
            <w:tcBorders>
              <w:top w:val="nil"/>
              <w:left w:val="nil"/>
              <w:bottom w:val="single" w:sz="4" w:space="0" w:color="9BC2E6"/>
              <w:right w:val="nil"/>
            </w:tcBorders>
            <w:shd w:val="clear" w:color="DDEBF7" w:fill="DDEBF7"/>
            <w:noWrap/>
            <w:vAlign w:val="bottom"/>
            <w:hideMark/>
          </w:tcPr>
          <w:p w:rsidR="006F7FDE" w:rsidRPr="00350FE5" w:rsidRDefault="006F7FDE" w:rsidP="009B4300">
            <w:pPr>
              <w:spacing w:after="0" w:line="276" w:lineRule="auto"/>
              <w:jc w:val="both"/>
              <w:rPr>
                <w:rFonts w:eastAsia="Times New Roman"/>
              </w:rPr>
            </w:pPr>
            <w:r w:rsidRPr="00350FE5">
              <w:rPr>
                <w:rFonts w:eastAsia="Times New Roman"/>
              </w:rPr>
              <w:t>0</w:t>
            </w:r>
          </w:p>
        </w:tc>
        <w:tc>
          <w:tcPr>
            <w:tcW w:w="609" w:type="pct"/>
            <w:tcBorders>
              <w:top w:val="nil"/>
              <w:left w:val="nil"/>
              <w:bottom w:val="single" w:sz="4" w:space="0" w:color="9BC2E6"/>
              <w:right w:val="nil"/>
            </w:tcBorders>
            <w:shd w:val="clear" w:color="DDEBF7" w:fill="DDEBF7"/>
            <w:noWrap/>
            <w:vAlign w:val="bottom"/>
            <w:hideMark/>
          </w:tcPr>
          <w:p w:rsidR="006F7FDE" w:rsidRPr="00350FE5" w:rsidRDefault="006F7FDE" w:rsidP="009B4300">
            <w:pPr>
              <w:spacing w:after="0" w:line="276" w:lineRule="auto"/>
              <w:jc w:val="both"/>
              <w:rPr>
                <w:rFonts w:eastAsia="Times New Roman"/>
              </w:rPr>
            </w:pPr>
            <w:r w:rsidRPr="00350FE5">
              <w:rPr>
                <w:rFonts w:eastAsia="Times New Roman"/>
              </w:rPr>
              <w:t>1395</w:t>
            </w:r>
          </w:p>
        </w:tc>
        <w:tc>
          <w:tcPr>
            <w:tcW w:w="449" w:type="pct"/>
            <w:tcBorders>
              <w:top w:val="nil"/>
              <w:left w:val="nil"/>
              <w:bottom w:val="single" w:sz="4" w:space="0" w:color="9BC2E6"/>
              <w:right w:val="nil"/>
            </w:tcBorders>
            <w:shd w:val="clear" w:color="DDEBF7" w:fill="DDEBF7"/>
            <w:noWrap/>
            <w:vAlign w:val="bottom"/>
            <w:hideMark/>
          </w:tcPr>
          <w:p w:rsidR="006F7FDE" w:rsidRPr="00350FE5" w:rsidRDefault="006F7FDE" w:rsidP="009B4300">
            <w:pPr>
              <w:spacing w:after="0" w:line="276" w:lineRule="auto"/>
              <w:jc w:val="both"/>
              <w:rPr>
                <w:rFonts w:eastAsia="Times New Roman"/>
              </w:rPr>
            </w:pPr>
            <w:r w:rsidRPr="00350FE5">
              <w:rPr>
                <w:rFonts w:eastAsia="Times New Roman"/>
              </w:rPr>
              <w:t>6</w:t>
            </w:r>
          </w:p>
        </w:tc>
        <w:tc>
          <w:tcPr>
            <w:tcW w:w="631" w:type="pct"/>
            <w:tcBorders>
              <w:top w:val="nil"/>
              <w:left w:val="nil"/>
              <w:bottom w:val="single" w:sz="4" w:space="0" w:color="9BC2E6"/>
              <w:right w:val="single" w:sz="4" w:space="0" w:color="9BC2E6"/>
            </w:tcBorders>
            <w:shd w:val="clear" w:color="DDEBF7" w:fill="DDEBF7"/>
            <w:noWrap/>
            <w:vAlign w:val="bottom"/>
            <w:hideMark/>
          </w:tcPr>
          <w:p w:rsidR="006F7FDE" w:rsidRPr="00350FE5" w:rsidRDefault="006F7FDE" w:rsidP="009B4300">
            <w:pPr>
              <w:spacing w:after="0" w:line="276" w:lineRule="auto"/>
              <w:jc w:val="both"/>
              <w:rPr>
                <w:rFonts w:eastAsia="Times New Roman"/>
              </w:rPr>
            </w:pPr>
            <w:r w:rsidRPr="00350FE5">
              <w:rPr>
                <w:rFonts w:eastAsia="Times New Roman"/>
              </w:rPr>
              <w:t>1401</w:t>
            </w:r>
          </w:p>
        </w:tc>
      </w:tr>
      <w:tr w:rsidR="006F7FDE" w:rsidRPr="00350FE5" w:rsidTr="0064112C">
        <w:trPr>
          <w:trHeight w:val="300"/>
        </w:trPr>
        <w:tc>
          <w:tcPr>
            <w:tcW w:w="2411" w:type="pct"/>
            <w:tcBorders>
              <w:top w:val="nil"/>
              <w:left w:val="single" w:sz="4" w:space="0" w:color="9BC2E6"/>
              <w:bottom w:val="single" w:sz="4" w:space="0" w:color="9BC2E6"/>
              <w:right w:val="nil"/>
            </w:tcBorders>
            <w:shd w:val="clear" w:color="auto" w:fill="auto"/>
            <w:noWrap/>
            <w:vAlign w:val="bottom"/>
            <w:hideMark/>
          </w:tcPr>
          <w:p w:rsidR="006F7FDE" w:rsidRPr="00350FE5" w:rsidRDefault="006F7FDE" w:rsidP="009B4300">
            <w:pPr>
              <w:spacing w:after="0" w:line="276" w:lineRule="auto"/>
              <w:jc w:val="both"/>
              <w:rPr>
                <w:rFonts w:eastAsia="Times New Roman"/>
              </w:rPr>
            </w:pPr>
            <w:r w:rsidRPr="00350FE5">
              <w:rPr>
                <w:rFonts w:eastAsia="Times New Roman"/>
              </w:rPr>
              <w:t>5. Number of ATM Booths</w:t>
            </w:r>
          </w:p>
        </w:tc>
        <w:tc>
          <w:tcPr>
            <w:tcW w:w="451" w:type="pct"/>
            <w:tcBorders>
              <w:top w:val="nil"/>
              <w:left w:val="nil"/>
              <w:bottom w:val="single" w:sz="4" w:space="0" w:color="9BC2E6"/>
              <w:right w:val="nil"/>
            </w:tcBorders>
            <w:shd w:val="clear" w:color="auto" w:fill="auto"/>
            <w:noWrap/>
            <w:vAlign w:val="bottom"/>
            <w:hideMark/>
          </w:tcPr>
          <w:p w:rsidR="006F7FDE" w:rsidRPr="00350FE5" w:rsidRDefault="006F7FDE" w:rsidP="009B4300">
            <w:pPr>
              <w:spacing w:after="0" w:line="276" w:lineRule="auto"/>
              <w:jc w:val="both"/>
              <w:rPr>
                <w:rFonts w:eastAsia="Times New Roman"/>
              </w:rPr>
            </w:pPr>
            <w:r w:rsidRPr="00350FE5">
              <w:rPr>
                <w:rFonts w:eastAsia="Times New Roman"/>
              </w:rPr>
              <w:t>451</w:t>
            </w:r>
          </w:p>
        </w:tc>
        <w:tc>
          <w:tcPr>
            <w:tcW w:w="449" w:type="pct"/>
            <w:tcBorders>
              <w:top w:val="nil"/>
              <w:left w:val="nil"/>
              <w:bottom w:val="single" w:sz="4" w:space="0" w:color="9BC2E6"/>
              <w:right w:val="nil"/>
            </w:tcBorders>
            <w:shd w:val="clear" w:color="auto" w:fill="auto"/>
            <w:noWrap/>
            <w:vAlign w:val="bottom"/>
            <w:hideMark/>
          </w:tcPr>
          <w:p w:rsidR="006F7FDE" w:rsidRPr="00350FE5" w:rsidRDefault="006F7FDE" w:rsidP="009B4300">
            <w:pPr>
              <w:spacing w:after="0" w:line="276" w:lineRule="auto"/>
              <w:jc w:val="both"/>
              <w:rPr>
                <w:rFonts w:eastAsia="Times New Roman"/>
              </w:rPr>
            </w:pPr>
            <w:r w:rsidRPr="00350FE5">
              <w:rPr>
                <w:rFonts w:eastAsia="Times New Roman"/>
              </w:rPr>
              <w:t>9</w:t>
            </w:r>
          </w:p>
        </w:tc>
        <w:tc>
          <w:tcPr>
            <w:tcW w:w="609" w:type="pct"/>
            <w:tcBorders>
              <w:top w:val="nil"/>
              <w:left w:val="nil"/>
              <w:bottom w:val="single" w:sz="4" w:space="0" w:color="9BC2E6"/>
              <w:right w:val="nil"/>
            </w:tcBorders>
            <w:shd w:val="clear" w:color="auto" w:fill="auto"/>
            <w:noWrap/>
            <w:vAlign w:val="bottom"/>
            <w:hideMark/>
          </w:tcPr>
          <w:p w:rsidR="006F7FDE" w:rsidRPr="00350FE5" w:rsidRDefault="006F7FDE" w:rsidP="009B4300">
            <w:pPr>
              <w:spacing w:after="0" w:line="276" w:lineRule="auto"/>
              <w:jc w:val="both"/>
              <w:rPr>
                <w:rFonts w:eastAsia="Times New Roman"/>
              </w:rPr>
            </w:pPr>
            <w:r w:rsidRPr="00350FE5">
              <w:rPr>
                <w:rFonts w:eastAsia="Times New Roman"/>
              </w:rPr>
              <w:t>6680</w:t>
            </w:r>
          </w:p>
        </w:tc>
        <w:tc>
          <w:tcPr>
            <w:tcW w:w="449" w:type="pct"/>
            <w:tcBorders>
              <w:top w:val="nil"/>
              <w:left w:val="nil"/>
              <w:bottom w:val="single" w:sz="4" w:space="0" w:color="9BC2E6"/>
              <w:right w:val="nil"/>
            </w:tcBorders>
            <w:shd w:val="clear" w:color="auto" w:fill="auto"/>
            <w:noWrap/>
            <w:vAlign w:val="bottom"/>
            <w:hideMark/>
          </w:tcPr>
          <w:p w:rsidR="006F7FDE" w:rsidRPr="00350FE5" w:rsidRDefault="006F7FDE" w:rsidP="009B4300">
            <w:pPr>
              <w:spacing w:after="0" w:line="276" w:lineRule="auto"/>
              <w:jc w:val="both"/>
              <w:rPr>
                <w:rFonts w:eastAsia="Times New Roman"/>
              </w:rPr>
            </w:pPr>
            <w:r w:rsidRPr="00350FE5">
              <w:rPr>
                <w:rFonts w:eastAsia="Times New Roman"/>
              </w:rPr>
              <w:t>88</w:t>
            </w:r>
          </w:p>
        </w:tc>
        <w:tc>
          <w:tcPr>
            <w:tcW w:w="631" w:type="pct"/>
            <w:tcBorders>
              <w:top w:val="nil"/>
              <w:left w:val="nil"/>
              <w:bottom w:val="single" w:sz="4" w:space="0" w:color="9BC2E6"/>
              <w:right w:val="single" w:sz="4" w:space="0" w:color="9BC2E6"/>
            </w:tcBorders>
            <w:shd w:val="clear" w:color="auto" w:fill="auto"/>
            <w:noWrap/>
            <w:vAlign w:val="bottom"/>
            <w:hideMark/>
          </w:tcPr>
          <w:p w:rsidR="006F7FDE" w:rsidRPr="00350FE5" w:rsidRDefault="006F7FDE" w:rsidP="009B4300">
            <w:pPr>
              <w:spacing w:after="0" w:line="276" w:lineRule="auto"/>
              <w:jc w:val="both"/>
              <w:rPr>
                <w:rFonts w:eastAsia="Times New Roman"/>
              </w:rPr>
            </w:pPr>
            <w:r w:rsidRPr="00350FE5">
              <w:rPr>
                <w:rFonts w:eastAsia="Times New Roman"/>
              </w:rPr>
              <w:t>7228</w:t>
            </w:r>
          </w:p>
        </w:tc>
      </w:tr>
      <w:tr w:rsidR="006F7FDE" w:rsidRPr="00350FE5" w:rsidTr="0064112C">
        <w:trPr>
          <w:trHeight w:val="300"/>
        </w:trPr>
        <w:tc>
          <w:tcPr>
            <w:tcW w:w="2411" w:type="pct"/>
            <w:tcBorders>
              <w:top w:val="nil"/>
              <w:left w:val="single" w:sz="4" w:space="0" w:color="9BC2E6"/>
              <w:bottom w:val="single" w:sz="4" w:space="0" w:color="9BC2E6"/>
              <w:right w:val="nil"/>
            </w:tcBorders>
            <w:shd w:val="clear" w:color="DDEBF7" w:fill="DDEBF7"/>
            <w:noWrap/>
            <w:vAlign w:val="bottom"/>
            <w:hideMark/>
          </w:tcPr>
          <w:p w:rsidR="006F7FDE" w:rsidRPr="00350FE5" w:rsidRDefault="006F7FDE" w:rsidP="009B4300">
            <w:pPr>
              <w:spacing w:after="0" w:line="276" w:lineRule="auto"/>
              <w:jc w:val="both"/>
              <w:rPr>
                <w:rFonts w:eastAsia="Times New Roman"/>
              </w:rPr>
            </w:pPr>
            <w:r w:rsidRPr="00350FE5">
              <w:rPr>
                <w:rFonts w:eastAsia="Times New Roman"/>
              </w:rPr>
              <w:lastRenderedPageBreak/>
              <w:t>6. Number of ATM Booths Powered by Solar Energy</w:t>
            </w:r>
          </w:p>
        </w:tc>
        <w:tc>
          <w:tcPr>
            <w:tcW w:w="451" w:type="pct"/>
            <w:tcBorders>
              <w:top w:val="nil"/>
              <w:left w:val="nil"/>
              <w:bottom w:val="single" w:sz="4" w:space="0" w:color="9BC2E6"/>
              <w:right w:val="nil"/>
            </w:tcBorders>
            <w:shd w:val="clear" w:color="DDEBF7" w:fill="DDEBF7"/>
            <w:noWrap/>
            <w:vAlign w:val="bottom"/>
            <w:hideMark/>
          </w:tcPr>
          <w:p w:rsidR="006F7FDE" w:rsidRPr="00350FE5" w:rsidRDefault="006F7FDE" w:rsidP="009B4300">
            <w:pPr>
              <w:spacing w:after="0" w:line="276" w:lineRule="auto"/>
              <w:jc w:val="both"/>
              <w:rPr>
                <w:rFonts w:eastAsia="Times New Roman"/>
              </w:rPr>
            </w:pPr>
            <w:r w:rsidRPr="00350FE5">
              <w:rPr>
                <w:rFonts w:eastAsia="Times New Roman"/>
              </w:rPr>
              <w:t>571</w:t>
            </w:r>
          </w:p>
        </w:tc>
        <w:tc>
          <w:tcPr>
            <w:tcW w:w="449" w:type="pct"/>
            <w:tcBorders>
              <w:top w:val="nil"/>
              <w:left w:val="nil"/>
              <w:bottom w:val="single" w:sz="4" w:space="0" w:color="9BC2E6"/>
              <w:right w:val="nil"/>
            </w:tcBorders>
            <w:shd w:val="clear" w:color="DDEBF7" w:fill="DDEBF7"/>
            <w:noWrap/>
            <w:vAlign w:val="bottom"/>
            <w:hideMark/>
          </w:tcPr>
          <w:p w:rsidR="006F7FDE" w:rsidRPr="00350FE5" w:rsidRDefault="006F7FDE" w:rsidP="009B4300">
            <w:pPr>
              <w:spacing w:after="0" w:line="276" w:lineRule="auto"/>
              <w:jc w:val="both"/>
              <w:rPr>
                <w:rFonts w:eastAsia="Times New Roman"/>
              </w:rPr>
            </w:pPr>
            <w:r w:rsidRPr="00350FE5">
              <w:rPr>
                <w:rFonts w:eastAsia="Times New Roman"/>
              </w:rPr>
              <w:t>0</w:t>
            </w:r>
          </w:p>
        </w:tc>
        <w:tc>
          <w:tcPr>
            <w:tcW w:w="609" w:type="pct"/>
            <w:tcBorders>
              <w:top w:val="nil"/>
              <w:left w:val="nil"/>
              <w:bottom w:val="single" w:sz="4" w:space="0" w:color="9BC2E6"/>
              <w:right w:val="nil"/>
            </w:tcBorders>
            <w:shd w:val="clear" w:color="DDEBF7" w:fill="DDEBF7"/>
            <w:noWrap/>
            <w:vAlign w:val="bottom"/>
            <w:hideMark/>
          </w:tcPr>
          <w:p w:rsidR="006F7FDE" w:rsidRPr="00350FE5" w:rsidRDefault="006F7FDE" w:rsidP="009B4300">
            <w:pPr>
              <w:spacing w:after="0" w:line="276" w:lineRule="auto"/>
              <w:jc w:val="both"/>
              <w:rPr>
                <w:rFonts w:eastAsia="Times New Roman"/>
              </w:rPr>
            </w:pPr>
            <w:r w:rsidRPr="00350FE5">
              <w:rPr>
                <w:rFonts w:eastAsia="Times New Roman"/>
              </w:rPr>
              <w:t>142</w:t>
            </w:r>
          </w:p>
        </w:tc>
        <w:tc>
          <w:tcPr>
            <w:tcW w:w="449" w:type="pct"/>
            <w:tcBorders>
              <w:top w:val="nil"/>
              <w:left w:val="nil"/>
              <w:bottom w:val="single" w:sz="4" w:space="0" w:color="9BC2E6"/>
              <w:right w:val="nil"/>
            </w:tcBorders>
            <w:shd w:val="clear" w:color="DDEBF7" w:fill="DDEBF7"/>
            <w:noWrap/>
            <w:vAlign w:val="bottom"/>
            <w:hideMark/>
          </w:tcPr>
          <w:p w:rsidR="006F7FDE" w:rsidRPr="00350FE5" w:rsidRDefault="006F7FDE" w:rsidP="009B4300">
            <w:pPr>
              <w:spacing w:after="0" w:line="276" w:lineRule="auto"/>
              <w:jc w:val="both"/>
              <w:rPr>
                <w:rFonts w:eastAsia="Times New Roman"/>
              </w:rPr>
            </w:pPr>
            <w:r w:rsidRPr="00350FE5">
              <w:rPr>
                <w:rFonts w:eastAsia="Times New Roman"/>
              </w:rPr>
              <w:t>4</w:t>
            </w:r>
          </w:p>
        </w:tc>
        <w:tc>
          <w:tcPr>
            <w:tcW w:w="631" w:type="pct"/>
            <w:tcBorders>
              <w:top w:val="nil"/>
              <w:left w:val="nil"/>
              <w:bottom w:val="single" w:sz="4" w:space="0" w:color="9BC2E6"/>
              <w:right w:val="single" w:sz="4" w:space="0" w:color="9BC2E6"/>
            </w:tcBorders>
            <w:shd w:val="clear" w:color="DDEBF7" w:fill="DDEBF7"/>
            <w:noWrap/>
            <w:vAlign w:val="bottom"/>
            <w:hideMark/>
          </w:tcPr>
          <w:p w:rsidR="006F7FDE" w:rsidRPr="00350FE5" w:rsidRDefault="006F7FDE" w:rsidP="009B4300">
            <w:pPr>
              <w:spacing w:after="0" w:line="276" w:lineRule="auto"/>
              <w:jc w:val="both"/>
              <w:rPr>
                <w:rFonts w:eastAsia="Times New Roman"/>
              </w:rPr>
            </w:pPr>
            <w:r w:rsidRPr="00350FE5">
              <w:rPr>
                <w:rFonts w:eastAsia="Times New Roman"/>
              </w:rPr>
              <w:t>717</w:t>
            </w:r>
          </w:p>
        </w:tc>
      </w:tr>
      <w:tr w:rsidR="006F7FDE" w:rsidRPr="00350FE5" w:rsidTr="0064112C">
        <w:trPr>
          <w:trHeight w:val="300"/>
        </w:trPr>
        <w:tc>
          <w:tcPr>
            <w:tcW w:w="2411" w:type="pct"/>
            <w:tcBorders>
              <w:top w:val="nil"/>
              <w:left w:val="single" w:sz="4" w:space="0" w:color="9BC2E6"/>
              <w:bottom w:val="single" w:sz="4" w:space="0" w:color="9BC2E6"/>
              <w:right w:val="nil"/>
            </w:tcBorders>
            <w:shd w:val="clear" w:color="auto" w:fill="auto"/>
            <w:noWrap/>
            <w:vAlign w:val="bottom"/>
            <w:hideMark/>
          </w:tcPr>
          <w:p w:rsidR="006F7FDE" w:rsidRPr="00350FE5" w:rsidRDefault="006F7FDE" w:rsidP="009B4300">
            <w:pPr>
              <w:spacing w:after="0" w:line="276" w:lineRule="auto"/>
              <w:jc w:val="both"/>
              <w:rPr>
                <w:rFonts w:eastAsia="Times New Roman"/>
              </w:rPr>
            </w:pPr>
            <w:r w:rsidRPr="00350FE5">
              <w:rPr>
                <w:rFonts w:eastAsia="Times New Roman"/>
              </w:rPr>
              <w:t>7. Number of Agent Outlets</w:t>
            </w:r>
          </w:p>
        </w:tc>
        <w:tc>
          <w:tcPr>
            <w:tcW w:w="451" w:type="pct"/>
            <w:tcBorders>
              <w:top w:val="nil"/>
              <w:left w:val="nil"/>
              <w:bottom w:val="single" w:sz="4" w:space="0" w:color="9BC2E6"/>
              <w:right w:val="nil"/>
            </w:tcBorders>
            <w:shd w:val="clear" w:color="auto" w:fill="auto"/>
            <w:noWrap/>
            <w:vAlign w:val="bottom"/>
            <w:hideMark/>
          </w:tcPr>
          <w:p w:rsidR="006F7FDE" w:rsidRPr="00350FE5" w:rsidRDefault="006F7FDE" w:rsidP="009B4300">
            <w:pPr>
              <w:spacing w:after="0" w:line="276" w:lineRule="auto"/>
              <w:jc w:val="both"/>
              <w:rPr>
                <w:rFonts w:eastAsia="Times New Roman"/>
              </w:rPr>
            </w:pPr>
            <w:r w:rsidRPr="00350FE5">
              <w:rPr>
                <w:rFonts w:eastAsia="Times New Roman"/>
              </w:rPr>
              <w:t>793</w:t>
            </w:r>
          </w:p>
        </w:tc>
        <w:tc>
          <w:tcPr>
            <w:tcW w:w="449" w:type="pct"/>
            <w:tcBorders>
              <w:top w:val="nil"/>
              <w:left w:val="nil"/>
              <w:bottom w:val="single" w:sz="4" w:space="0" w:color="9BC2E6"/>
              <w:right w:val="nil"/>
            </w:tcBorders>
            <w:shd w:val="clear" w:color="auto" w:fill="auto"/>
            <w:noWrap/>
            <w:vAlign w:val="bottom"/>
            <w:hideMark/>
          </w:tcPr>
          <w:p w:rsidR="006F7FDE" w:rsidRPr="00350FE5" w:rsidRDefault="006F7FDE" w:rsidP="009B4300">
            <w:pPr>
              <w:spacing w:after="0" w:line="276" w:lineRule="auto"/>
              <w:jc w:val="both"/>
              <w:rPr>
                <w:rFonts w:eastAsia="Times New Roman"/>
              </w:rPr>
            </w:pPr>
            <w:r w:rsidRPr="00350FE5">
              <w:rPr>
                <w:rFonts w:eastAsia="Times New Roman"/>
              </w:rPr>
              <w:t>0</w:t>
            </w:r>
          </w:p>
        </w:tc>
        <w:tc>
          <w:tcPr>
            <w:tcW w:w="609" w:type="pct"/>
            <w:tcBorders>
              <w:top w:val="nil"/>
              <w:left w:val="nil"/>
              <w:bottom w:val="single" w:sz="4" w:space="0" w:color="9BC2E6"/>
              <w:right w:val="nil"/>
            </w:tcBorders>
            <w:shd w:val="clear" w:color="auto" w:fill="auto"/>
            <w:noWrap/>
            <w:vAlign w:val="bottom"/>
            <w:hideMark/>
          </w:tcPr>
          <w:p w:rsidR="006F7FDE" w:rsidRPr="00350FE5" w:rsidRDefault="006F7FDE" w:rsidP="009B4300">
            <w:pPr>
              <w:spacing w:after="0" w:line="276" w:lineRule="auto"/>
              <w:jc w:val="both"/>
              <w:rPr>
                <w:rFonts w:eastAsia="Times New Roman"/>
              </w:rPr>
            </w:pPr>
            <w:r w:rsidRPr="00350FE5">
              <w:rPr>
                <w:rFonts w:eastAsia="Times New Roman"/>
              </w:rPr>
              <w:t>19721</w:t>
            </w:r>
          </w:p>
        </w:tc>
        <w:tc>
          <w:tcPr>
            <w:tcW w:w="449" w:type="pct"/>
            <w:tcBorders>
              <w:top w:val="nil"/>
              <w:left w:val="nil"/>
              <w:bottom w:val="single" w:sz="4" w:space="0" w:color="9BC2E6"/>
              <w:right w:val="nil"/>
            </w:tcBorders>
            <w:shd w:val="clear" w:color="auto" w:fill="auto"/>
            <w:noWrap/>
            <w:vAlign w:val="bottom"/>
            <w:hideMark/>
          </w:tcPr>
          <w:p w:rsidR="006F7FDE" w:rsidRPr="00350FE5" w:rsidRDefault="006F7FDE" w:rsidP="009B4300">
            <w:pPr>
              <w:spacing w:after="0" w:line="276" w:lineRule="auto"/>
              <w:jc w:val="both"/>
              <w:rPr>
                <w:rFonts w:eastAsia="Times New Roman"/>
              </w:rPr>
            </w:pPr>
            <w:r w:rsidRPr="00350FE5">
              <w:rPr>
                <w:rFonts w:eastAsia="Times New Roman"/>
              </w:rPr>
              <w:t>0</w:t>
            </w:r>
          </w:p>
        </w:tc>
        <w:tc>
          <w:tcPr>
            <w:tcW w:w="631" w:type="pct"/>
            <w:tcBorders>
              <w:top w:val="nil"/>
              <w:left w:val="nil"/>
              <w:bottom w:val="single" w:sz="4" w:space="0" w:color="9BC2E6"/>
              <w:right w:val="single" w:sz="4" w:space="0" w:color="9BC2E6"/>
            </w:tcBorders>
            <w:shd w:val="clear" w:color="auto" w:fill="auto"/>
            <w:noWrap/>
            <w:vAlign w:val="bottom"/>
            <w:hideMark/>
          </w:tcPr>
          <w:p w:rsidR="006F7FDE" w:rsidRPr="00350FE5" w:rsidRDefault="006F7FDE" w:rsidP="009B4300">
            <w:pPr>
              <w:spacing w:after="0" w:line="276" w:lineRule="auto"/>
              <w:jc w:val="both"/>
              <w:rPr>
                <w:rFonts w:eastAsia="Times New Roman"/>
              </w:rPr>
            </w:pPr>
            <w:r w:rsidRPr="00350FE5">
              <w:rPr>
                <w:rFonts w:eastAsia="Times New Roman"/>
              </w:rPr>
              <w:t>20514</w:t>
            </w:r>
          </w:p>
        </w:tc>
      </w:tr>
      <w:tr w:rsidR="006F7FDE" w:rsidRPr="00350FE5" w:rsidTr="0064112C">
        <w:trPr>
          <w:trHeight w:val="300"/>
        </w:trPr>
        <w:tc>
          <w:tcPr>
            <w:tcW w:w="2411" w:type="pct"/>
            <w:tcBorders>
              <w:top w:val="nil"/>
              <w:left w:val="single" w:sz="4" w:space="0" w:color="9BC2E6"/>
              <w:bottom w:val="single" w:sz="4" w:space="0" w:color="9BC2E6"/>
              <w:right w:val="nil"/>
            </w:tcBorders>
            <w:shd w:val="clear" w:color="DDEBF7" w:fill="DDEBF7"/>
            <w:noWrap/>
            <w:vAlign w:val="bottom"/>
            <w:hideMark/>
          </w:tcPr>
          <w:p w:rsidR="006F7FDE" w:rsidRPr="00350FE5" w:rsidRDefault="006F7FDE" w:rsidP="009B4300">
            <w:pPr>
              <w:spacing w:after="0" w:line="276" w:lineRule="auto"/>
              <w:jc w:val="both"/>
              <w:rPr>
                <w:rFonts w:eastAsia="Times New Roman"/>
              </w:rPr>
            </w:pPr>
            <w:r w:rsidRPr="00350FE5">
              <w:rPr>
                <w:rFonts w:eastAsia="Times New Roman"/>
              </w:rPr>
              <w:t>8. Number of Solar Powered Agent Outlets</w:t>
            </w:r>
          </w:p>
        </w:tc>
        <w:tc>
          <w:tcPr>
            <w:tcW w:w="451" w:type="pct"/>
            <w:tcBorders>
              <w:top w:val="nil"/>
              <w:left w:val="nil"/>
              <w:bottom w:val="single" w:sz="4" w:space="0" w:color="9BC2E6"/>
              <w:right w:val="nil"/>
            </w:tcBorders>
            <w:shd w:val="clear" w:color="DDEBF7" w:fill="DDEBF7"/>
            <w:noWrap/>
            <w:vAlign w:val="bottom"/>
            <w:hideMark/>
          </w:tcPr>
          <w:p w:rsidR="006F7FDE" w:rsidRPr="00350FE5" w:rsidRDefault="006F7FDE" w:rsidP="009B4300">
            <w:pPr>
              <w:spacing w:after="0" w:line="276" w:lineRule="auto"/>
              <w:jc w:val="both"/>
              <w:rPr>
                <w:rFonts w:eastAsia="Times New Roman"/>
              </w:rPr>
            </w:pPr>
            <w:r w:rsidRPr="00350FE5">
              <w:rPr>
                <w:rFonts w:eastAsia="Times New Roman"/>
              </w:rPr>
              <w:t>0</w:t>
            </w:r>
          </w:p>
        </w:tc>
        <w:tc>
          <w:tcPr>
            <w:tcW w:w="449" w:type="pct"/>
            <w:tcBorders>
              <w:top w:val="nil"/>
              <w:left w:val="nil"/>
              <w:bottom w:val="single" w:sz="4" w:space="0" w:color="9BC2E6"/>
              <w:right w:val="nil"/>
            </w:tcBorders>
            <w:shd w:val="clear" w:color="DDEBF7" w:fill="DDEBF7"/>
            <w:noWrap/>
            <w:vAlign w:val="bottom"/>
            <w:hideMark/>
          </w:tcPr>
          <w:p w:rsidR="006F7FDE" w:rsidRPr="00350FE5" w:rsidRDefault="006F7FDE" w:rsidP="009B4300">
            <w:pPr>
              <w:spacing w:after="0" w:line="276" w:lineRule="auto"/>
              <w:jc w:val="both"/>
              <w:rPr>
                <w:rFonts w:eastAsia="Times New Roman"/>
              </w:rPr>
            </w:pPr>
            <w:r w:rsidRPr="00350FE5">
              <w:rPr>
                <w:rFonts w:eastAsia="Times New Roman"/>
              </w:rPr>
              <w:t>0</w:t>
            </w:r>
          </w:p>
        </w:tc>
        <w:tc>
          <w:tcPr>
            <w:tcW w:w="609" w:type="pct"/>
            <w:tcBorders>
              <w:top w:val="nil"/>
              <w:left w:val="nil"/>
              <w:bottom w:val="single" w:sz="4" w:space="0" w:color="9BC2E6"/>
              <w:right w:val="nil"/>
            </w:tcBorders>
            <w:shd w:val="clear" w:color="DDEBF7" w:fill="DDEBF7"/>
            <w:noWrap/>
            <w:vAlign w:val="bottom"/>
            <w:hideMark/>
          </w:tcPr>
          <w:p w:rsidR="006F7FDE" w:rsidRPr="00350FE5" w:rsidRDefault="006F7FDE" w:rsidP="009B4300">
            <w:pPr>
              <w:spacing w:after="0" w:line="276" w:lineRule="auto"/>
              <w:jc w:val="both"/>
              <w:rPr>
                <w:rFonts w:eastAsia="Times New Roman"/>
              </w:rPr>
            </w:pPr>
            <w:r w:rsidRPr="00350FE5">
              <w:rPr>
                <w:rFonts w:eastAsia="Times New Roman"/>
              </w:rPr>
              <w:t>30</w:t>
            </w:r>
          </w:p>
        </w:tc>
        <w:tc>
          <w:tcPr>
            <w:tcW w:w="449" w:type="pct"/>
            <w:tcBorders>
              <w:top w:val="nil"/>
              <w:left w:val="nil"/>
              <w:bottom w:val="single" w:sz="4" w:space="0" w:color="9BC2E6"/>
              <w:right w:val="nil"/>
            </w:tcBorders>
            <w:shd w:val="clear" w:color="DDEBF7" w:fill="DDEBF7"/>
            <w:noWrap/>
            <w:vAlign w:val="bottom"/>
            <w:hideMark/>
          </w:tcPr>
          <w:p w:rsidR="006F7FDE" w:rsidRPr="00350FE5" w:rsidRDefault="006F7FDE" w:rsidP="009B4300">
            <w:pPr>
              <w:spacing w:after="0" w:line="276" w:lineRule="auto"/>
              <w:jc w:val="both"/>
              <w:rPr>
                <w:rFonts w:eastAsia="Times New Roman"/>
              </w:rPr>
            </w:pPr>
            <w:r w:rsidRPr="00350FE5">
              <w:rPr>
                <w:rFonts w:eastAsia="Times New Roman"/>
              </w:rPr>
              <w:t>0</w:t>
            </w:r>
          </w:p>
        </w:tc>
        <w:tc>
          <w:tcPr>
            <w:tcW w:w="631" w:type="pct"/>
            <w:tcBorders>
              <w:top w:val="nil"/>
              <w:left w:val="nil"/>
              <w:bottom w:val="single" w:sz="4" w:space="0" w:color="9BC2E6"/>
              <w:right w:val="single" w:sz="4" w:space="0" w:color="9BC2E6"/>
            </w:tcBorders>
            <w:shd w:val="clear" w:color="DDEBF7" w:fill="DDEBF7"/>
            <w:noWrap/>
            <w:vAlign w:val="bottom"/>
            <w:hideMark/>
          </w:tcPr>
          <w:p w:rsidR="006F7FDE" w:rsidRPr="00350FE5" w:rsidRDefault="006F7FDE" w:rsidP="009B4300">
            <w:pPr>
              <w:spacing w:after="0" w:line="276" w:lineRule="auto"/>
              <w:jc w:val="both"/>
              <w:rPr>
                <w:rFonts w:eastAsia="Times New Roman"/>
              </w:rPr>
            </w:pPr>
            <w:r w:rsidRPr="00350FE5">
              <w:rPr>
                <w:rFonts w:eastAsia="Times New Roman"/>
              </w:rPr>
              <w:t>30</w:t>
            </w:r>
          </w:p>
        </w:tc>
      </w:tr>
      <w:tr w:rsidR="006F7FDE" w:rsidRPr="00350FE5" w:rsidTr="0064112C">
        <w:trPr>
          <w:trHeight w:val="300"/>
        </w:trPr>
        <w:tc>
          <w:tcPr>
            <w:tcW w:w="2411" w:type="pct"/>
            <w:tcBorders>
              <w:top w:val="nil"/>
              <w:left w:val="single" w:sz="4" w:space="0" w:color="9BC2E6"/>
              <w:bottom w:val="single" w:sz="4" w:space="0" w:color="9BC2E6"/>
              <w:right w:val="nil"/>
            </w:tcBorders>
            <w:shd w:val="clear" w:color="auto" w:fill="auto"/>
            <w:noWrap/>
            <w:vAlign w:val="bottom"/>
            <w:hideMark/>
          </w:tcPr>
          <w:p w:rsidR="006F7FDE" w:rsidRPr="00350FE5" w:rsidRDefault="006F7FDE" w:rsidP="009B4300">
            <w:pPr>
              <w:spacing w:after="0" w:line="276" w:lineRule="auto"/>
              <w:jc w:val="both"/>
              <w:rPr>
                <w:rFonts w:eastAsia="Times New Roman"/>
              </w:rPr>
            </w:pPr>
            <w:r w:rsidRPr="00350FE5">
              <w:rPr>
                <w:rFonts w:eastAsia="Times New Roman"/>
              </w:rPr>
              <w:t>9. Number of Accounts using Internet Banking</w:t>
            </w:r>
          </w:p>
        </w:tc>
        <w:tc>
          <w:tcPr>
            <w:tcW w:w="451" w:type="pct"/>
            <w:tcBorders>
              <w:top w:val="nil"/>
              <w:left w:val="nil"/>
              <w:bottom w:val="single" w:sz="4" w:space="0" w:color="9BC2E6"/>
              <w:right w:val="nil"/>
            </w:tcBorders>
            <w:shd w:val="clear" w:color="auto" w:fill="auto"/>
            <w:noWrap/>
            <w:vAlign w:val="bottom"/>
            <w:hideMark/>
          </w:tcPr>
          <w:p w:rsidR="006F7FDE" w:rsidRPr="00350FE5" w:rsidRDefault="006F7FDE" w:rsidP="009B4300">
            <w:pPr>
              <w:spacing w:after="0" w:line="276" w:lineRule="auto"/>
              <w:jc w:val="both"/>
              <w:rPr>
                <w:rFonts w:eastAsia="Times New Roman"/>
              </w:rPr>
            </w:pPr>
            <w:r w:rsidRPr="00350FE5">
              <w:rPr>
                <w:rFonts w:eastAsia="Times New Roman"/>
              </w:rPr>
              <w:t>181019</w:t>
            </w:r>
          </w:p>
        </w:tc>
        <w:tc>
          <w:tcPr>
            <w:tcW w:w="449" w:type="pct"/>
            <w:tcBorders>
              <w:top w:val="nil"/>
              <w:left w:val="nil"/>
              <w:bottom w:val="single" w:sz="4" w:space="0" w:color="9BC2E6"/>
              <w:right w:val="nil"/>
            </w:tcBorders>
            <w:shd w:val="clear" w:color="auto" w:fill="auto"/>
            <w:noWrap/>
            <w:vAlign w:val="bottom"/>
            <w:hideMark/>
          </w:tcPr>
          <w:p w:rsidR="006F7FDE" w:rsidRPr="00350FE5" w:rsidRDefault="006F7FDE" w:rsidP="009B4300">
            <w:pPr>
              <w:spacing w:after="0" w:line="276" w:lineRule="auto"/>
              <w:jc w:val="both"/>
              <w:rPr>
                <w:rFonts w:eastAsia="Times New Roman"/>
              </w:rPr>
            </w:pPr>
            <w:r w:rsidRPr="00350FE5">
              <w:rPr>
                <w:rFonts w:eastAsia="Times New Roman"/>
              </w:rPr>
              <w:t>439032</w:t>
            </w:r>
          </w:p>
        </w:tc>
        <w:tc>
          <w:tcPr>
            <w:tcW w:w="609" w:type="pct"/>
            <w:tcBorders>
              <w:top w:val="nil"/>
              <w:left w:val="nil"/>
              <w:bottom w:val="single" w:sz="4" w:space="0" w:color="9BC2E6"/>
              <w:right w:val="nil"/>
            </w:tcBorders>
            <w:shd w:val="clear" w:color="auto" w:fill="auto"/>
            <w:noWrap/>
            <w:vAlign w:val="bottom"/>
            <w:hideMark/>
          </w:tcPr>
          <w:p w:rsidR="006F7FDE" w:rsidRPr="00350FE5" w:rsidRDefault="006F7FDE" w:rsidP="009B4300">
            <w:pPr>
              <w:spacing w:after="0" w:line="276" w:lineRule="auto"/>
              <w:jc w:val="both"/>
              <w:rPr>
                <w:rFonts w:eastAsia="Times New Roman"/>
              </w:rPr>
            </w:pPr>
            <w:r w:rsidRPr="00350FE5">
              <w:rPr>
                <w:rFonts w:eastAsia="Times New Roman"/>
              </w:rPr>
              <w:t>3310700</w:t>
            </w:r>
          </w:p>
        </w:tc>
        <w:tc>
          <w:tcPr>
            <w:tcW w:w="449" w:type="pct"/>
            <w:tcBorders>
              <w:top w:val="nil"/>
              <w:left w:val="nil"/>
              <w:bottom w:val="single" w:sz="4" w:space="0" w:color="9BC2E6"/>
              <w:right w:val="nil"/>
            </w:tcBorders>
            <w:shd w:val="clear" w:color="auto" w:fill="auto"/>
            <w:noWrap/>
            <w:vAlign w:val="bottom"/>
            <w:hideMark/>
          </w:tcPr>
          <w:p w:rsidR="006F7FDE" w:rsidRPr="00350FE5" w:rsidRDefault="006F7FDE" w:rsidP="009B4300">
            <w:pPr>
              <w:spacing w:after="0" w:line="276" w:lineRule="auto"/>
              <w:jc w:val="both"/>
              <w:rPr>
                <w:rFonts w:eastAsia="Times New Roman"/>
              </w:rPr>
            </w:pPr>
            <w:r w:rsidRPr="00350FE5">
              <w:rPr>
                <w:rFonts w:eastAsia="Times New Roman"/>
              </w:rPr>
              <w:t>313759</w:t>
            </w:r>
          </w:p>
        </w:tc>
        <w:tc>
          <w:tcPr>
            <w:tcW w:w="631" w:type="pct"/>
            <w:tcBorders>
              <w:top w:val="nil"/>
              <w:left w:val="nil"/>
              <w:bottom w:val="single" w:sz="4" w:space="0" w:color="9BC2E6"/>
              <w:right w:val="single" w:sz="4" w:space="0" w:color="9BC2E6"/>
            </w:tcBorders>
            <w:shd w:val="clear" w:color="auto" w:fill="auto"/>
            <w:noWrap/>
            <w:vAlign w:val="bottom"/>
            <w:hideMark/>
          </w:tcPr>
          <w:p w:rsidR="006F7FDE" w:rsidRPr="00350FE5" w:rsidRDefault="006F7FDE" w:rsidP="009B4300">
            <w:pPr>
              <w:spacing w:after="0" w:line="276" w:lineRule="auto"/>
              <w:jc w:val="both"/>
              <w:rPr>
                <w:rFonts w:eastAsia="Times New Roman"/>
              </w:rPr>
            </w:pPr>
            <w:r w:rsidRPr="00350FE5">
              <w:rPr>
                <w:rFonts w:eastAsia="Times New Roman"/>
              </w:rPr>
              <w:t>4244510</w:t>
            </w:r>
          </w:p>
        </w:tc>
      </w:tr>
      <w:tr w:rsidR="006F7FDE" w:rsidRPr="00350FE5" w:rsidTr="0064112C">
        <w:trPr>
          <w:trHeight w:val="300"/>
        </w:trPr>
        <w:tc>
          <w:tcPr>
            <w:tcW w:w="2411" w:type="pct"/>
            <w:tcBorders>
              <w:top w:val="nil"/>
              <w:left w:val="single" w:sz="4" w:space="0" w:color="9BC2E6"/>
              <w:bottom w:val="single" w:sz="4" w:space="0" w:color="9BC2E6"/>
              <w:right w:val="nil"/>
            </w:tcBorders>
            <w:shd w:val="clear" w:color="DDEBF7" w:fill="DDEBF7"/>
            <w:noWrap/>
            <w:vAlign w:val="bottom"/>
            <w:hideMark/>
          </w:tcPr>
          <w:p w:rsidR="006F7FDE" w:rsidRPr="00350FE5" w:rsidRDefault="006F7FDE" w:rsidP="009B4300">
            <w:pPr>
              <w:spacing w:after="0" w:line="276" w:lineRule="auto"/>
              <w:jc w:val="both"/>
              <w:rPr>
                <w:rFonts w:eastAsia="Times New Roman"/>
              </w:rPr>
            </w:pPr>
            <w:r w:rsidRPr="00350FE5">
              <w:rPr>
                <w:rFonts w:eastAsia="Times New Roman"/>
              </w:rPr>
              <w:t xml:space="preserve">10. Number of Accounts using SMART Phone </w:t>
            </w:r>
          </w:p>
        </w:tc>
        <w:tc>
          <w:tcPr>
            <w:tcW w:w="451" w:type="pct"/>
            <w:tcBorders>
              <w:top w:val="nil"/>
              <w:left w:val="nil"/>
              <w:bottom w:val="single" w:sz="4" w:space="0" w:color="9BC2E6"/>
              <w:right w:val="nil"/>
            </w:tcBorders>
            <w:shd w:val="clear" w:color="DDEBF7" w:fill="DDEBF7"/>
            <w:noWrap/>
            <w:vAlign w:val="bottom"/>
            <w:hideMark/>
          </w:tcPr>
          <w:p w:rsidR="006F7FDE" w:rsidRPr="00350FE5" w:rsidRDefault="006F7FDE" w:rsidP="009B4300">
            <w:pPr>
              <w:spacing w:after="0" w:line="276" w:lineRule="auto"/>
              <w:jc w:val="both"/>
              <w:rPr>
                <w:rFonts w:eastAsia="Times New Roman"/>
              </w:rPr>
            </w:pPr>
            <w:r w:rsidRPr="00350FE5">
              <w:rPr>
                <w:rFonts w:eastAsia="Times New Roman"/>
              </w:rPr>
              <w:t>335164</w:t>
            </w:r>
          </w:p>
        </w:tc>
        <w:tc>
          <w:tcPr>
            <w:tcW w:w="449" w:type="pct"/>
            <w:tcBorders>
              <w:top w:val="nil"/>
              <w:left w:val="nil"/>
              <w:bottom w:val="single" w:sz="4" w:space="0" w:color="9BC2E6"/>
              <w:right w:val="nil"/>
            </w:tcBorders>
            <w:shd w:val="clear" w:color="DDEBF7" w:fill="DDEBF7"/>
            <w:noWrap/>
            <w:vAlign w:val="bottom"/>
            <w:hideMark/>
          </w:tcPr>
          <w:p w:rsidR="006F7FDE" w:rsidRPr="00350FE5" w:rsidRDefault="006F7FDE" w:rsidP="009B4300">
            <w:pPr>
              <w:spacing w:after="0" w:line="276" w:lineRule="auto"/>
              <w:jc w:val="both"/>
              <w:rPr>
                <w:rFonts w:eastAsia="Times New Roman"/>
              </w:rPr>
            </w:pPr>
            <w:r w:rsidRPr="00350FE5">
              <w:rPr>
                <w:rFonts w:eastAsia="Times New Roman"/>
              </w:rPr>
              <w:t>437042</w:t>
            </w:r>
          </w:p>
        </w:tc>
        <w:tc>
          <w:tcPr>
            <w:tcW w:w="609" w:type="pct"/>
            <w:tcBorders>
              <w:top w:val="nil"/>
              <w:left w:val="nil"/>
              <w:bottom w:val="single" w:sz="4" w:space="0" w:color="9BC2E6"/>
              <w:right w:val="nil"/>
            </w:tcBorders>
            <w:shd w:val="clear" w:color="DDEBF7" w:fill="DDEBF7"/>
            <w:noWrap/>
            <w:vAlign w:val="bottom"/>
            <w:hideMark/>
          </w:tcPr>
          <w:p w:rsidR="006F7FDE" w:rsidRPr="00350FE5" w:rsidRDefault="006F7FDE" w:rsidP="009B4300">
            <w:pPr>
              <w:spacing w:after="0" w:line="276" w:lineRule="auto"/>
              <w:jc w:val="both"/>
              <w:rPr>
                <w:rFonts w:eastAsia="Times New Roman"/>
              </w:rPr>
            </w:pPr>
            <w:r w:rsidRPr="00350FE5">
              <w:rPr>
                <w:rFonts w:eastAsia="Times New Roman"/>
              </w:rPr>
              <w:t>19507461</w:t>
            </w:r>
          </w:p>
        </w:tc>
        <w:tc>
          <w:tcPr>
            <w:tcW w:w="449" w:type="pct"/>
            <w:tcBorders>
              <w:top w:val="nil"/>
              <w:left w:val="nil"/>
              <w:bottom w:val="single" w:sz="4" w:space="0" w:color="9BC2E6"/>
              <w:right w:val="nil"/>
            </w:tcBorders>
            <w:shd w:val="clear" w:color="DDEBF7" w:fill="DDEBF7"/>
            <w:noWrap/>
            <w:vAlign w:val="bottom"/>
            <w:hideMark/>
          </w:tcPr>
          <w:p w:rsidR="006F7FDE" w:rsidRPr="00350FE5" w:rsidRDefault="006F7FDE" w:rsidP="009B4300">
            <w:pPr>
              <w:spacing w:after="0" w:line="276" w:lineRule="auto"/>
              <w:jc w:val="both"/>
              <w:rPr>
                <w:rFonts w:eastAsia="Times New Roman"/>
              </w:rPr>
            </w:pPr>
            <w:r w:rsidRPr="00350FE5">
              <w:rPr>
                <w:rFonts w:eastAsia="Times New Roman"/>
              </w:rPr>
              <w:t>199279</w:t>
            </w:r>
          </w:p>
        </w:tc>
        <w:tc>
          <w:tcPr>
            <w:tcW w:w="631" w:type="pct"/>
            <w:tcBorders>
              <w:top w:val="nil"/>
              <w:left w:val="nil"/>
              <w:bottom w:val="single" w:sz="4" w:space="0" w:color="9BC2E6"/>
              <w:right w:val="single" w:sz="4" w:space="0" w:color="9BC2E6"/>
            </w:tcBorders>
            <w:shd w:val="clear" w:color="DDEBF7" w:fill="DDEBF7"/>
            <w:noWrap/>
            <w:vAlign w:val="bottom"/>
            <w:hideMark/>
          </w:tcPr>
          <w:p w:rsidR="006F7FDE" w:rsidRPr="00350FE5" w:rsidRDefault="006F7FDE" w:rsidP="009B4300">
            <w:pPr>
              <w:spacing w:after="0" w:line="276" w:lineRule="auto"/>
              <w:jc w:val="both"/>
              <w:rPr>
                <w:rFonts w:eastAsia="Times New Roman"/>
              </w:rPr>
            </w:pPr>
            <w:r w:rsidRPr="00350FE5">
              <w:rPr>
                <w:rFonts w:eastAsia="Times New Roman"/>
              </w:rPr>
              <w:t>20478946</w:t>
            </w:r>
          </w:p>
        </w:tc>
      </w:tr>
      <w:tr w:rsidR="006F7FDE" w:rsidRPr="00350FE5" w:rsidTr="0064112C">
        <w:trPr>
          <w:trHeight w:val="300"/>
        </w:trPr>
        <w:tc>
          <w:tcPr>
            <w:tcW w:w="2411" w:type="pct"/>
            <w:tcBorders>
              <w:top w:val="nil"/>
              <w:left w:val="single" w:sz="4" w:space="0" w:color="9BC2E6"/>
              <w:bottom w:val="single" w:sz="4" w:space="0" w:color="9BC2E6"/>
              <w:right w:val="nil"/>
            </w:tcBorders>
            <w:shd w:val="clear" w:color="auto" w:fill="auto"/>
            <w:noWrap/>
            <w:vAlign w:val="bottom"/>
            <w:hideMark/>
          </w:tcPr>
          <w:p w:rsidR="006F7FDE" w:rsidRPr="00350FE5" w:rsidRDefault="006F7FDE" w:rsidP="009B4300">
            <w:pPr>
              <w:spacing w:after="0" w:line="276" w:lineRule="auto"/>
              <w:jc w:val="both"/>
              <w:rPr>
                <w:rFonts w:eastAsia="Times New Roman"/>
              </w:rPr>
            </w:pPr>
            <w:r w:rsidRPr="00350FE5">
              <w:rPr>
                <w:rFonts w:eastAsia="Times New Roman"/>
              </w:rPr>
              <w:t>11. Number of Online Branches</w:t>
            </w:r>
          </w:p>
        </w:tc>
        <w:tc>
          <w:tcPr>
            <w:tcW w:w="451" w:type="pct"/>
            <w:tcBorders>
              <w:top w:val="nil"/>
              <w:left w:val="nil"/>
              <w:bottom w:val="single" w:sz="4" w:space="0" w:color="9BC2E6"/>
              <w:right w:val="nil"/>
            </w:tcBorders>
            <w:shd w:val="clear" w:color="auto" w:fill="auto"/>
            <w:noWrap/>
            <w:vAlign w:val="bottom"/>
            <w:hideMark/>
          </w:tcPr>
          <w:p w:rsidR="006F7FDE" w:rsidRPr="00350FE5" w:rsidRDefault="006F7FDE" w:rsidP="009B4300">
            <w:pPr>
              <w:spacing w:after="0" w:line="276" w:lineRule="auto"/>
              <w:jc w:val="both"/>
              <w:rPr>
                <w:rFonts w:eastAsia="Times New Roman"/>
              </w:rPr>
            </w:pPr>
            <w:r w:rsidRPr="00350FE5">
              <w:rPr>
                <w:rFonts w:eastAsia="Times New Roman"/>
              </w:rPr>
              <w:t>3835</w:t>
            </w:r>
          </w:p>
        </w:tc>
        <w:tc>
          <w:tcPr>
            <w:tcW w:w="449" w:type="pct"/>
            <w:tcBorders>
              <w:top w:val="nil"/>
              <w:left w:val="nil"/>
              <w:bottom w:val="single" w:sz="4" w:space="0" w:color="9BC2E6"/>
              <w:right w:val="nil"/>
            </w:tcBorders>
            <w:shd w:val="clear" w:color="auto" w:fill="auto"/>
            <w:noWrap/>
            <w:vAlign w:val="bottom"/>
            <w:hideMark/>
          </w:tcPr>
          <w:p w:rsidR="006F7FDE" w:rsidRPr="00350FE5" w:rsidRDefault="006F7FDE" w:rsidP="009B4300">
            <w:pPr>
              <w:spacing w:after="0" w:line="276" w:lineRule="auto"/>
              <w:jc w:val="both"/>
              <w:rPr>
                <w:rFonts w:eastAsia="Times New Roman"/>
              </w:rPr>
            </w:pPr>
            <w:r w:rsidRPr="00350FE5">
              <w:rPr>
                <w:rFonts w:eastAsia="Times New Roman"/>
              </w:rPr>
              <w:t>1421</w:t>
            </w:r>
          </w:p>
        </w:tc>
        <w:tc>
          <w:tcPr>
            <w:tcW w:w="609" w:type="pct"/>
            <w:tcBorders>
              <w:top w:val="nil"/>
              <w:left w:val="nil"/>
              <w:bottom w:val="single" w:sz="4" w:space="0" w:color="9BC2E6"/>
              <w:right w:val="nil"/>
            </w:tcBorders>
            <w:shd w:val="clear" w:color="auto" w:fill="auto"/>
            <w:noWrap/>
            <w:vAlign w:val="bottom"/>
            <w:hideMark/>
          </w:tcPr>
          <w:p w:rsidR="006F7FDE" w:rsidRPr="00350FE5" w:rsidRDefault="006F7FDE" w:rsidP="009B4300">
            <w:pPr>
              <w:spacing w:after="0" w:line="276" w:lineRule="auto"/>
              <w:jc w:val="both"/>
              <w:rPr>
                <w:rFonts w:eastAsia="Times New Roman"/>
              </w:rPr>
            </w:pPr>
            <w:r w:rsidRPr="00350FE5">
              <w:rPr>
                <w:rFonts w:eastAsia="Times New Roman"/>
              </w:rPr>
              <w:t>4139</w:t>
            </w:r>
          </w:p>
        </w:tc>
        <w:tc>
          <w:tcPr>
            <w:tcW w:w="449" w:type="pct"/>
            <w:tcBorders>
              <w:top w:val="nil"/>
              <w:left w:val="nil"/>
              <w:bottom w:val="single" w:sz="4" w:space="0" w:color="9BC2E6"/>
              <w:right w:val="nil"/>
            </w:tcBorders>
            <w:shd w:val="clear" w:color="auto" w:fill="auto"/>
            <w:noWrap/>
            <w:vAlign w:val="bottom"/>
            <w:hideMark/>
          </w:tcPr>
          <w:p w:rsidR="006F7FDE" w:rsidRPr="00350FE5" w:rsidRDefault="006F7FDE" w:rsidP="009B4300">
            <w:pPr>
              <w:spacing w:after="0" w:line="276" w:lineRule="auto"/>
              <w:jc w:val="both"/>
              <w:rPr>
                <w:rFonts w:eastAsia="Times New Roman"/>
              </w:rPr>
            </w:pPr>
            <w:r w:rsidRPr="00350FE5">
              <w:rPr>
                <w:rFonts w:eastAsia="Times New Roman"/>
              </w:rPr>
              <w:t>56</w:t>
            </w:r>
          </w:p>
        </w:tc>
        <w:tc>
          <w:tcPr>
            <w:tcW w:w="631" w:type="pct"/>
            <w:tcBorders>
              <w:top w:val="nil"/>
              <w:left w:val="nil"/>
              <w:bottom w:val="single" w:sz="4" w:space="0" w:color="9BC2E6"/>
              <w:right w:val="single" w:sz="4" w:space="0" w:color="9BC2E6"/>
            </w:tcBorders>
            <w:shd w:val="clear" w:color="auto" w:fill="auto"/>
            <w:noWrap/>
            <w:vAlign w:val="bottom"/>
            <w:hideMark/>
          </w:tcPr>
          <w:p w:rsidR="006F7FDE" w:rsidRPr="00350FE5" w:rsidRDefault="006F7FDE" w:rsidP="009B4300">
            <w:pPr>
              <w:spacing w:after="0" w:line="276" w:lineRule="auto"/>
              <w:jc w:val="both"/>
              <w:rPr>
                <w:rFonts w:eastAsia="Times New Roman"/>
              </w:rPr>
            </w:pPr>
            <w:r w:rsidRPr="00350FE5">
              <w:rPr>
                <w:rFonts w:eastAsia="Times New Roman"/>
              </w:rPr>
              <w:t>9451</w:t>
            </w:r>
          </w:p>
        </w:tc>
      </w:tr>
      <w:tr w:rsidR="006F7FDE" w:rsidRPr="00350FE5" w:rsidTr="0064112C">
        <w:trPr>
          <w:trHeight w:val="300"/>
        </w:trPr>
        <w:tc>
          <w:tcPr>
            <w:tcW w:w="2411" w:type="pct"/>
            <w:tcBorders>
              <w:top w:val="nil"/>
              <w:left w:val="single" w:sz="4" w:space="0" w:color="9BC2E6"/>
              <w:bottom w:val="single" w:sz="4" w:space="0" w:color="9BC2E6"/>
              <w:right w:val="nil"/>
            </w:tcBorders>
            <w:shd w:val="clear" w:color="DDEBF7" w:fill="DDEBF7"/>
            <w:noWrap/>
            <w:vAlign w:val="bottom"/>
            <w:hideMark/>
          </w:tcPr>
          <w:p w:rsidR="006F7FDE" w:rsidRPr="00350FE5" w:rsidRDefault="006F7FDE" w:rsidP="009B4300">
            <w:pPr>
              <w:spacing w:after="0" w:line="276" w:lineRule="auto"/>
              <w:jc w:val="both"/>
              <w:rPr>
                <w:rFonts w:eastAsia="Times New Roman"/>
              </w:rPr>
            </w:pPr>
            <w:r w:rsidRPr="00350FE5">
              <w:rPr>
                <w:rFonts w:eastAsia="Times New Roman"/>
              </w:rPr>
              <w:t>12. Total Number of MFS Accounts</w:t>
            </w:r>
          </w:p>
        </w:tc>
        <w:tc>
          <w:tcPr>
            <w:tcW w:w="451" w:type="pct"/>
            <w:tcBorders>
              <w:top w:val="nil"/>
              <w:left w:val="nil"/>
              <w:bottom w:val="single" w:sz="4" w:space="0" w:color="9BC2E6"/>
              <w:right w:val="nil"/>
            </w:tcBorders>
            <w:shd w:val="clear" w:color="DDEBF7" w:fill="DDEBF7"/>
            <w:noWrap/>
            <w:vAlign w:val="bottom"/>
            <w:hideMark/>
          </w:tcPr>
          <w:p w:rsidR="006F7FDE" w:rsidRPr="00350FE5" w:rsidRDefault="006F7FDE" w:rsidP="009B4300">
            <w:pPr>
              <w:spacing w:after="0" w:line="276" w:lineRule="auto"/>
              <w:jc w:val="both"/>
              <w:rPr>
                <w:rFonts w:eastAsia="Times New Roman"/>
              </w:rPr>
            </w:pPr>
            <w:r w:rsidRPr="00350FE5">
              <w:rPr>
                <w:rFonts w:eastAsia="Times New Roman"/>
              </w:rPr>
              <w:t>0</w:t>
            </w:r>
          </w:p>
        </w:tc>
        <w:tc>
          <w:tcPr>
            <w:tcW w:w="449" w:type="pct"/>
            <w:tcBorders>
              <w:top w:val="nil"/>
              <w:left w:val="nil"/>
              <w:bottom w:val="single" w:sz="4" w:space="0" w:color="9BC2E6"/>
              <w:right w:val="nil"/>
            </w:tcBorders>
            <w:shd w:val="clear" w:color="DDEBF7" w:fill="DDEBF7"/>
            <w:noWrap/>
            <w:vAlign w:val="bottom"/>
            <w:hideMark/>
          </w:tcPr>
          <w:p w:rsidR="006F7FDE" w:rsidRPr="00350FE5" w:rsidRDefault="006F7FDE" w:rsidP="009B4300">
            <w:pPr>
              <w:spacing w:after="0" w:line="276" w:lineRule="auto"/>
              <w:jc w:val="both"/>
              <w:rPr>
                <w:rFonts w:eastAsia="Times New Roman"/>
              </w:rPr>
            </w:pPr>
            <w:r w:rsidRPr="00350FE5">
              <w:rPr>
                <w:rFonts w:eastAsia="Times New Roman"/>
              </w:rPr>
              <w:t>0</w:t>
            </w:r>
          </w:p>
        </w:tc>
        <w:tc>
          <w:tcPr>
            <w:tcW w:w="609" w:type="pct"/>
            <w:tcBorders>
              <w:top w:val="nil"/>
              <w:left w:val="nil"/>
              <w:bottom w:val="single" w:sz="4" w:space="0" w:color="9BC2E6"/>
              <w:right w:val="nil"/>
            </w:tcBorders>
            <w:shd w:val="clear" w:color="DDEBF7" w:fill="DDEBF7"/>
            <w:noWrap/>
            <w:vAlign w:val="bottom"/>
            <w:hideMark/>
          </w:tcPr>
          <w:p w:rsidR="006F7FDE" w:rsidRPr="00350FE5" w:rsidRDefault="006F7FDE" w:rsidP="009B4300">
            <w:pPr>
              <w:spacing w:after="0" w:line="276" w:lineRule="auto"/>
              <w:jc w:val="both"/>
              <w:rPr>
                <w:rFonts w:eastAsia="Times New Roman"/>
              </w:rPr>
            </w:pPr>
            <w:r w:rsidRPr="00350FE5">
              <w:rPr>
                <w:rFonts w:eastAsia="Times New Roman"/>
              </w:rPr>
              <w:t>124981224</w:t>
            </w:r>
          </w:p>
        </w:tc>
        <w:tc>
          <w:tcPr>
            <w:tcW w:w="449" w:type="pct"/>
            <w:tcBorders>
              <w:top w:val="nil"/>
              <w:left w:val="nil"/>
              <w:bottom w:val="single" w:sz="4" w:space="0" w:color="9BC2E6"/>
              <w:right w:val="nil"/>
            </w:tcBorders>
            <w:shd w:val="clear" w:color="DDEBF7" w:fill="DDEBF7"/>
            <w:noWrap/>
            <w:vAlign w:val="bottom"/>
            <w:hideMark/>
          </w:tcPr>
          <w:p w:rsidR="006F7FDE" w:rsidRPr="00350FE5" w:rsidRDefault="006F7FDE" w:rsidP="009B4300">
            <w:pPr>
              <w:spacing w:after="0" w:line="276" w:lineRule="auto"/>
              <w:jc w:val="both"/>
              <w:rPr>
                <w:rFonts w:eastAsia="Times New Roman"/>
              </w:rPr>
            </w:pPr>
            <w:r w:rsidRPr="00350FE5">
              <w:rPr>
                <w:rFonts w:eastAsia="Times New Roman"/>
              </w:rPr>
              <w:t>0</w:t>
            </w:r>
          </w:p>
        </w:tc>
        <w:tc>
          <w:tcPr>
            <w:tcW w:w="631" w:type="pct"/>
            <w:tcBorders>
              <w:top w:val="nil"/>
              <w:left w:val="nil"/>
              <w:bottom w:val="single" w:sz="4" w:space="0" w:color="9BC2E6"/>
              <w:right w:val="single" w:sz="4" w:space="0" w:color="9BC2E6"/>
            </w:tcBorders>
            <w:shd w:val="clear" w:color="DDEBF7" w:fill="DDEBF7"/>
            <w:noWrap/>
            <w:vAlign w:val="bottom"/>
            <w:hideMark/>
          </w:tcPr>
          <w:p w:rsidR="006F7FDE" w:rsidRPr="00350FE5" w:rsidRDefault="006F7FDE" w:rsidP="009B4300">
            <w:pPr>
              <w:spacing w:after="0" w:line="276" w:lineRule="auto"/>
              <w:jc w:val="both"/>
              <w:rPr>
                <w:rFonts w:eastAsia="Times New Roman"/>
              </w:rPr>
            </w:pPr>
            <w:r w:rsidRPr="00350FE5">
              <w:rPr>
                <w:rFonts w:eastAsia="Times New Roman"/>
              </w:rPr>
              <w:t>124981224</w:t>
            </w:r>
          </w:p>
        </w:tc>
      </w:tr>
    </w:tbl>
    <w:p w:rsidR="006F7FDE" w:rsidRPr="00350FE5" w:rsidRDefault="006F7FDE" w:rsidP="009B4300">
      <w:pPr>
        <w:pStyle w:val="Default"/>
        <w:spacing w:line="276" w:lineRule="auto"/>
        <w:contextualSpacing/>
        <w:jc w:val="both"/>
        <w:rPr>
          <w:noProof/>
          <w:color w:val="000000" w:themeColor="text1"/>
        </w:rPr>
      </w:pPr>
      <w:r w:rsidRPr="00350FE5">
        <w:rPr>
          <w:noProof/>
          <w:color w:val="000000" w:themeColor="text1"/>
        </w:rPr>
        <w:t xml:space="preserve">Source: Researcher accumulation from sustainable development report </w:t>
      </w:r>
      <w:r w:rsidR="00697166" w:rsidRPr="00350FE5">
        <w:rPr>
          <w:noProof/>
          <w:color w:val="000000" w:themeColor="text1"/>
        </w:rPr>
        <w:t>BB</w:t>
      </w:r>
      <w:r w:rsidRPr="00350FE5">
        <w:rPr>
          <w:noProof/>
          <w:color w:val="000000" w:themeColor="text1"/>
        </w:rPr>
        <w:t>.</w:t>
      </w:r>
    </w:p>
    <w:p w:rsidR="006F7FDE" w:rsidRPr="00350FE5" w:rsidRDefault="00E94002" w:rsidP="009B4300">
      <w:pPr>
        <w:pStyle w:val="Default"/>
        <w:spacing w:line="276" w:lineRule="auto"/>
        <w:contextualSpacing/>
        <w:jc w:val="both"/>
        <w:rPr>
          <w:b/>
          <w:noProof/>
        </w:rPr>
      </w:pPr>
      <w:r w:rsidRPr="00350FE5">
        <w:rPr>
          <w:noProof/>
          <w:color w:val="000000" w:themeColor="text1"/>
        </w:rPr>
        <w:t>Table 8</w:t>
      </w:r>
      <w:r w:rsidR="006F7FDE" w:rsidRPr="00350FE5">
        <w:rPr>
          <w:noProof/>
          <w:color w:val="000000" w:themeColor="text1"/>
        </w:rPr>
        <w:t xml:space="preserve"> shows </w:t>
      </w:r>
      <w:r w:rsidR="00697166" w:rsidRPr="00350FE5">
        <w:rPr>
          <w:noProof/>
          <w:color w:val="000000" w:themeColor="text1"/>
        </w:rPr>
        <w:t xml:space="preserve">that out of </w:t>
      </w:r>
      <w:r w:rsidR="006F7FDE" w:rsidRPr="00350FE5">
        <w:rPr>
          <w:noProof/>
          <w:color w:val="000000" w:themeColor="text1"/>
        </w:rPr>
        <w:t xml:space="preserve"> 9662 branches PCBs owned the highest 4217 branches followed by SOCBs 2835, SDBs 1541, and FCBs 69 branches functioning in Bangladesh. But unfortunately, SDBs have no branches powered by solar energy. PCBs have the highest 339, SOCBs have 80 and FCBs have only 8 branches powered by solar energy. In respect of ATM booths, SOCBs have the highest 571, followed by PCBs have 142, FCBs have 4 and SDBs have 0 ATM booths powered by solar energy.</w:t>
      </w:r>
      <w:r w:rsidR="006F7FDE" w:rsidRPr="00350FE5">
        <w:rPr>
          <w:rFonts w:eastAsia="Times New Roman"/>
          <w:color w:val="000000" w:themeColor="text1"/>
        </w:rPr>
        <w:t xml:space="preserve"> In respect of the Number of Accounts using Internet Banking PCBs have the highest 3310700, followed by SDBs have 439032, FCBs have 313759, and SOCBs have 181019. In the same way, the smartphone users owned 19507461 accounts in PCBs, next to 437042 in SDBs, 335164 in SOCBs, and 199279 in FCBs respectively. PCBs are also in the highest position holding 4139 branches operating full-fledged online transactions, followed by SOCBs 3835, SDBs 1421, and FCBs 56 branches. Finally, PCBs have 124981224 MFS accounts</w:t>
      </w:r>
      <w:r w:rsidR="00012D5D" w:rsidRPr="00350FE5">
        <w:rPr>
          <w:rFonts w:eastAsia="Times New Roman"/>
          <w:color w:val="000000" w:themeColor="text1"/>
        </w:rPr>
        <w:t xml:space="preserve"> whereas other banks have none. </w:t>
      </w:r>
    </w:p>
    <w:p w:rsidR="006F7FDE" w:rsidRDefault="00E94002" w:rsidP="009B4300">
      <w:pPr>
        <w:spacing w:after="0" w:line="276" w:lineRule="auto"/>
        <w:jc w:val="both"/>
        <w:rPr>
          <w:b/>
          <w:noProof/>
        </w:rPr>
      </w:pPr>
      <w:r w:rsidRPr="00350FE5">
        <w:rPr>
          <w:rFonts w:eastAsia="Times New Roman"/>
          <w:b/>
        </w:rPr>
        <w:t xml:space="preserve"> </w:t>
      </w:r>
      <w:r w:rsidR="00F31428">
        <w:rPr>
          <w:rFonts w:eastAsia="Times New Roman"/>
          <w:b/>
        </w:rPr>
        <w:t xml:space="preserve">4.14 </w:t>
      </w:r>
      <w:r w:rsidR="006F7FDE" w:rsidRPr="00350FE5">
        <w:rPr>
          <w:b/>
          <w:noProof/>
        </w:rPr>
        <w:t>Training, Awareness, and Capacity Building</w:t>
      </w:r>
    </w:p>
    <w:p w:rsidR="00012D5D" w:rsidRPr="00350FE5" w:rsidRDefault="00BC02D1" w:rsidP="009B4300">
      <w:pPr>
        <w:spacing w:after="0" w:line="276" w:lineRule="auto"/>
        <w:jc w:val="both"/>
        <w:rPr>
          <w:rFonts w:eastAsia="Times New Roman"/>
          <w:b/>
        </w:rPr>
      </w:pPr>
      <w:r w:rsidRPr="00350FE5">
        <w:rPr>
          <w:rFonts w:eastAsia="Times New Roman"/>
        </w:rPr>
        <w:t>Till 2023 Quarter 3, About 45 banks and 8 financial institutions arranged training &amp; awareness programs concerning sustainable and green financing activities. A snapshot of the Q</w:t>
      </w:r>
      <w:r w:rsidRPr="00350FE5">
        <w:rPr>
          <w:rFonts w:eastAsia="Times New Roman"/>
          <w:vertAlign w:val="subscript"/>
        </w:rPr>
        <w:t>3</w:t>
      </w:r>
      <w:r w:rsidRPr="00350FE5">
        <w:rPr>
          <w:rFonts w:eastAsia="Times New Roman"/>
        </w:rPr>
        <w:t>, 2023 period on the topic is given below:</w:t>
      </w:r>
    </w:p>
    <w:p w:rsidR="006F7FDE" w:rsidRPr="00350FE5" w:rsidRDefault="00E94002" w:rsidP="009B4300">
      <w:pPr>
        <w:pStyle w:val="Default"/>
        <w:spacing w:line="276" w:lineRule="auto"/>
        <w:contextualSpacing/>
        <w:jc w:val="both"/>
        <w:rPr>
          <w:b/>
          <w:noProof/>
          <w:color w:val="000000" w:themeColor="text1"/>
        </w:rPr>
      </w:pPr>
      <w:r w:rsidRPr="00350FE5">
        <w:rPr>
          <w:b/>
          <w:noProof/>
          <w:color w:val="000000" w:themeColor="text1"/>
        </w:rPr>
        <w:t>Table 9</w:t>
      </w:r>
      <w:r w:rsidR="006F7FDE" w:rsidRPr="00350FE5">
        <w:rPr>
          <w:b/>
          <w:noProof/>
          <w:color w:val="000000" w:themeColor="text1"/>
        </w:rPr>
        <w:t>: Training, Awareness, and Capacity Building of Green Banking Activities</w:t>
      </w:r>
    </w:p>
    <w:tbl>
      <w:tblPr>
        <w:tblW w:w="5000" w:type="pct"/>
        <w:tblLook w:val="04A0" w:firstRow="1" w:lastRow="0" w:firstColumn="1" w:lastColumn="0" w:noHBand="0" w:noVBand="1"/>
      </w:tblPr>
      <w:tblGrid>
        <w:gridCol w:w="1541"/>
        <w:gridCol w:w="2163"/>
        <w:gridCol w:w="2206"/>
        <w:gridCol w:w="2389"/>
      </w:tblGrid>
      <w:tr w:rsidR="006F7FDE" w:rsidRPr="00350FE5" w:rsidTr="0064112C">
        <w:trPr>
          <w:trHeight w:val="56"/>
        </w:trPr>
        <w:tc>
          <w:tcPr>
            <w:tcW w:w="929" w:type="pct"/>
            <w:tcBorders>
              <w:top w:val="single" w:sz="4" w:space="0" w:color="9BC2E6"/>
              <w:left w:val="single" w:sz="4" w:space="0" w:color="9BC2E6"/>
              <w:bottom w:val="single" w:sz="4" w:space="0" w:color="9BC2E6"/>
              <w:right w:val="nil"/>
            </w:tcBorders>
            <w:shd w:val="clear" w:color="5B9BD5" w:fill="5B9BD5"/>
            <w:noWrap/>
            <w:vAlign w:val="bottom"/>
          </w:tcPr>
          <w:p w:rsidR="006F7FDE" w:rsidRPr="00350FE5" w:rsidRDefault="006F7FDE" w:rsidP="009B4300">
            <w:pPr>
              <w:spacing w:after="0" w:line="276" w:lineRule="auto"/>
              <w:jc w:val="both"/>
              <w:rPr>
                <w:rFonts w:eastAsia="Times New Roman"/>
                <w:bCs/>
                <w:color w:val="FFFFFF" w:themeColor="background1"/>
              </w:rPr>
            </w:pPr>
            <w:r w:rsidRPr="00350FE5">
              <w:rPr>
                <w:rFonts w:eastAsia="Times New Roman"/>
                <w:bCs/>
                <w:color w:val="FFFFFF" w:themeColor="background1"/>
              </w:rPr>
              <w:t>2023</w:t>
            </w:r>
          </w:p>
        </w:tc>
        <w:tc>
          <w:tcPr>
            <w:tcW w:w="1303" w:type="pct"/>
            <w:tcBorders>
              <w:top w:val="single" w:sz="4" w:space="0" w:color="9BC2E6"/>
              <w:left w:val="nil"/>
              <w:bottom w:val="single" w:sz="4" w:space="0" w:color="9BC2E6"/>
              <w:right w:val="nil"/>
            </w:tcBorders>
            <w:shd w:val="clear" w:color="5B9BD5" w:fill="5B9BD5"/>
            <w:noWrap/>
            <w:vAlign w:val="bottom"/>
          </w:tcPr>
          <w:p w:rsidR="006F7FDE" w:rsidRPr="00350FE5" w:rsidRDefault="006F7FDE" w:rsidP="009B4300">
            <w:pPr>
              <w:spacing w:after="0" w:line="276" w:lineRule="auto"/>
              <w:jc w:val="both"/>
              <w:rPr>
                <w:rFonts w:eastAsia="Times New Roman"/>
                <w:bCs/>
                <w:color w:val="FFFFFF" w:themeColor="background1"/>
              </w:rPr>
            </w:pPr>
          </w:p>
        </w:tc>
        <w:tc>
          <w:tcPr>
            <w:tcW w:w="1329" w:type="pct"/>
            <w:tcBorders>
              <w:top w:val="single" w:sz="4" w:space="0" w:color="9BC2E6"/>
              <w:left w:val="nil"/>
              <w:bottom w:val="single" w:sz="4" w:space="0" w:color="9BC2E6"/>
              <w:right w:val="nil"/>
            </w:tcBorders>
            <w:shd w:val="clear" w:color="5B9BD5" w:fill="5B9BD5"/>
            <w:noWrap/>
            <w:vAlign w:val="bottom"/>
          </w:tcPr>
          <w:p w:rsidR="006F7FDE" w:rsidRPr="00350FE5" w:rsidRDefault="006F7FDE" w:rsidP="009B4300">
            <w:pPr>
              <w:spacing w:after="0" w:line="276" w:lineRule="auto"/>
              <w:jc w:val="both"/>
              <w:rPr>
                <w:rFonts w:eastAsia="Times New Roman"/>
                <w:bCs/>
                <w:color w:val="FFFFFF" w:themeColor="background1"/>
              </w:rPr>
            </w:pPr>
          </w:p>
        </w:tc>
        <w:tc>
          <w:tcPr>
            <w:tcW w:w="1439" w:type="pct"/>
            <w:tcBorders>
              <w:top w:val="single" w:sz="4" w:space="0" w:color="9BC2E6"/>
              <w:left w:val="nil"/>
              <w:bottom w:val="single" w:sz="4" w:space="0" w:color="9BC2E6"/>
              <w:right w:val="single" w:sz="4" w:space="0" w:color="9BC2E6"/>
            </w:tcBorders>
            <w:shd w:val="clear" w:color="5B9BD5" w:fill="5B9BD5"/>
            <w:noWrap/>
            <w:vAlign w:val="bottom"/>
          </w:tcPr>
          <w:p w:rsidR="006F7FDE" w:rsidRPr="00350FE5" w:rsidRDefault="006F7FDE" w:rsidP="009B4300">
            <w:pPr>
              <w:spacing w:after="0" w:line="276" w:lineRule="auto"/>
              <w:jc w:val="both"/>
              <w:rPr>
                <w:rFonts w:eastAsia="Times New Roman"/>
                <w:bCs/>
                <w:color w:val="FFFFFF" w:themeColor="background1"/>
              </w:rPr>
            </w:pPr>
          </w:p>
        </w:tc>
      </w:tr>
      <w:tr w:rsidR="006F7FDE" w:rsidRPr="00350FE5" w:rsidTr="0064112C">
        <w:trPr>
          <w:trHeight w:val="300"/>
        </w:trPr>
        <w:tc>
          <w:tcPr>
            <w:tcW w:w="929" w:type="pct"/>
            <w:tcBorders>
              <w:top w:val="single" w:sz="4" w:space="0" w:color="9BC2E6"/>
              <w:left w:val="single" w:sz="4" w:space="0" w:color="9BC2E6"/>
              <w:bottom w:val="single" w:sz="4" w:space="0" w:color="9BC2E6"/>
              <w:right w:val="nil"/>
            </w:tcBorders>
            <w:shd w:val="clear" w:color="DDEBF7" w:fill="DDEBF7"/>
            <w:noWrap/>
            <w:vAlign w:val="bottom"/>
            <w:hideMark/>
          </w:tcPr>
          <w:p w:rsidR="006F7FDE" w:rsidRPr="00350FE5" w:rsidRDefault="006F7FDE" w:rsidP="009B4300">
            <w:pPr>
              <w:spacing w:after="0" w:line="276" w:lineRule="auto"/>
              <w:jc w:val="both"/>
              <w:rPr>
                <w:rFonts w:eastAsia="Times New Roman"/>
              </w:rPr>
            </w:pPr>
            <w:r w:rsidRPr="00350FE5">
              <w:rPr>
                <w:rFonts w:eastAsia="Times New Roman"/>
              </w:rPr>
              <w:t>Types of Banks</w:t>
            </w:r>
          </w:p>
        </w:tc>
        <w:tc>
          <w:tcPr>
            <w:tcW w:w="1303" w:type="pct"/>
            <w:tcBorders>
              <w:top w:val="single" w:sz="4" w:space="0" w:color="9BC2E6"/>
              <w:left w:val="nil"/>
              <w:bottom w:val="single" w:sz="4" w:space="0" w:color="9BC2E6"/>
              <w:right w:val="nil"/>
            </w:tcBorders>
            <w:shd w:val="clear" w:color="DDEBF7" w:fill="DDEBF7"/>
            <w:noWrap/>
            <w:vAlign w:val="bottom"/>
            <w:hideMark/>
          </w:tcPr>
          <w:p w:rsidR="006F7FDE" w:rsidRPr="00350FE5" w:rsidRDefault="006F7FDE" w:rsidP="009B4300">
            <w:pPr>
              <w:spacing w:after="0" w:line="276" w:lineRule="auto"/>
              <w:ind w:right="618"/>
              <w:jc w:val="both"/>
              <w:rPr>
                <w:rFonts w:eastAsia="Times New Roman"/>
              </w:rPr>
            </w:pPr>
            <w:r w:rsidRPr="00350FE5">
              <w:rPr>
                <w:rFonts w:eastAsia="Times New Roman"/>
              </w:rPr>
              <w:t>No. of Programs</w:t>
            </w:r>
          </w:p>
        </w:tc>
        <w:tc>
          <w:tcPr>
            <w:tcW w:w="1329" w:type="pct"/>
            <w:tcBorders>
              <w:top w:val="single" w:sz="4" w:space="0" w:color="9BC2E6"/>
              <w:left w:val="nil"/>
              <w:bottom w:val="single" w:sz="4" w:space="0" w:color="9BC2E6"/>
              <w:right w:val="nil"/>
            </w:tcBorders>
            <w:shd w:val="clear" w:color="DDEBF7" w:fill="DDEBF7"/>
            <w:noWrap/>
            <w:vAlign w:val="bottom"/>
            <w:hideMark/>
          </w:tcPr>
          <w:p w:rsidR="006F7FDE" w:rsidRPr="00350FE5" w:rsidRDefault="006F7FDE" w:rsidP="009B4300">
            <w:pPr>
              <w:tabs>
                <w:tab w:val="left" w:pos="1248"/>
              </w:tabs>
              <w:spacing w:after="0" w:line="276" w:lineRule="auto"/>
              <w:ind w:right="521"/>
              <w:jc w:val="both"/>
              <w:rPr>
                <w:rFonts w:eastAsia="Times New Roman"/>
              </w:rPr>
            </w:pPr>
            <w:r w:rsidRPr="00350FE5">
              <w:rPr>
                <w:rFonts w:eastAsia="Times New Roman"/>
              </w:rPr>
              <w:t>No. of Employees</w:t>
            </w:r>
          </w:p>
        </w:tc>
        <w:tc>
          <w:tcPr>
            <w:tcW w:w="1439" w:type="pct"/>
            <w:tcBorders>
              <w:top w:val="single" w:sz="4" w:space="0" w:color="9BC2E6"/>
              <w:left w:val="nil"/>
              <w:bottom w:val="single" w:sz="4" w:space="0" w:color="9BC2E6"/>
              <w:right w:val="single" w:sz="4" w:space="0" w:color="9BC2E6"/>
            </w:tcBorders>
            <w:shd w:val="clear" w:color="DDEBF7" w:fill="DDEBF7"/>
            <w:noWrap/>
            <w:vAlign w:val="bottom"/>
            <w:hideMark/>
          </w:tcPr>
          <w:p w:rsidR="006F7FDE" w:rsidRPr="00350FE5" w:rsidRDefault="006F7FDE" w:rsidP="009B4300">
            <w:pPr>
              <w:spacing w:after="0" w:line="276" w:lineRule="auto"/>
              <w:ind w:right="769"/>
              <w:jc w:val="both"/>
              <w:rPr>
                <w:rFonts w:eastAsia="Times New Roman"/>
              </w:rPr>
            </w:pPr>
            <w:r w:rsidRPr="00350FE5">
              <w:rPr>
                <w:rFonts w:eastAsia="Times New Roman"/>
              </w:rPr>
              <w:t>No. of Customers</w:t>
            </w:r>
          </w:p>
        </w:tc>
      </w:tr>
      <w:tr w:rsidR="006F7FDE" w:rsidRPr="00350FE5" w:rsidTr="0064112C">
        <w:trPr>
          <w:trHeight w:val="300"/>
        </w:trPr>
        <w:tc>
          <w:tcPr>
            <w:tcW w:w="929" w:type="pct"/>
            <w:tcBorders>
              <w:top w:val="single" w:sz="4" w:space="0" w:color="9BC2E6"/>
              <w:left w:val="single" w:sz="4" w:space="0" w:color="9BC2E6"/>
              <w:bottom w:val="single" w:sz="4" w:space="0" w:color="9BC2E6"/>
              <w:right w:val="nil"/>
            </w:tcBorders>
            <w:shd w:val="clear" w:color="auto" w:fill="auto"/>
            <w:noWrap/>
            <w:vAlign w:val="bottom"/>
            <w:hideMark/>
          </w:tcPr>
          <w:p w:rsidR="006F7FDE" w:rsidRPr="00350FE5" w:rsidRDefault="006F7FDE" w:rsidP="009B4300">
            <w:pPr>
              <w:spacing w:after="0" w:line="276" w:lineRule="auto"/>
              <w:jc w:val="both"/>
              <w:rPr>
                <w:rFonts w:eastAsia="Times New Roman"/>
              </w:rPr>
            </w:pPr>
            <w:r w:rsidRPr="00350FE5">
              <w:rPr>
                <w:rFonts w:eastAsia="Times New Roman"/>
              </w:rPr>
              <w:t>SOCBs</w:t>
            </w:r>
          </w:p>
        </w:tc>
        <w:tc>
          <w:tcPr>
            <w:tcW w:w="1303" w:type="pct"/>
            <w:tcBorders>
              <w:top w:val="single" w:sz="4" w:space="0" w:color="9BC2E6"/>
              <w:left w:val="nil"/>
              <w:bottom w:val="single" w:sz="4" w:space="0" w:color="9BC2E6"/>
              <w:right w:val="nil"/>
            </w:tcBorders>
            <w:shd w:val="clear" w:color="auto" w:fill="auto"/>
            <w:noWrap/>
            <w:vAlign w:val="bottom"/>
            <w:hideMark/>
          </w:tcPr>
          <w:p w:rsidR="006F7FDE" w:rsidRPr="00350FE5" w:rsidRDefault="006F7FDE" w:rsidP="009B4300">
            <w:pPr>
              <w:spacing w:after="0" w:line="276" w:lineRule="auto"/>
              <w:jc w:val="both"/>
              <w:rPr>
                <w:rFonts w:eastAsia="Times New Roman"/>
              </w:rPr>
            </w:pPr>
            <w:r w:rsidRPr="00350FE5">
              <w:rPr>
                <w:rFonts w:eastAsia="Times New Roman"/>
              </w:rPr>
              <w:t>59</w:t>
            </w:r>
          </w:p>
        </w:tc>
        <w:tc>
          <w:tcPr>
            <w:tcW w:w="1329" w:type="pct"/>
            <w:tcBorders>
              <w:top w:val="single" w:sz="4" w:space="0" w:color="9BC2E6"/>
              <w:left w:val="nil"/>
              <w:bottom w:val="single" w:sz="4" w:space="0" w:color="9BC2E6"/>
              <w:right w:val="nil"/>
            </w:tcBorders>
            <w:shd w:val="clear" w:color="auto" w:fill="auto"/>
            <w:noWrap/>
            <w:vAlign w:val="bottom"/>
            <w:hideMark/>
          </w:tcPr>
          <w:p w:rsidR="006F7FDE" w:rsidRPr="00350FE5" w:rsidRDefault="006F7FDE" w:rsidP="009B4300">
            <w:pPr>
              <w:spacing w:after="0" w:line="276" w:lineRule="auto"/>
              <w:jc w:val="both"/>
              <w:rPr>
                <w:rFonts w:eastAsia="Times New Roman"/>
              </w:rPr>
            </w:pPr>
            <w:r w:rsidRPr="00350FE5">
              <w:rPr>
                <w:rFonts w:eastAsia="Times New Roman"/>
              </w:rPr>
              <w:t>1108</w:t>
            </w:r>
          </w:p>
        </w:tc>
        <w:tc>
          <w:tcPr>
            <w:tcW w:w="1439" w:type="pct"/>
            <w:tcBorders>
              <w:top w:val="single" w:sz="4" w:space="0" w:color="9BC2E6"/>
              <w:left w:val="nil"/>
              <w:bottom w:val="single" w:sz="4" w:space="0" w:color="9BC2E6"/>
              <w:right w:val="single" w:sz="4" w:space="0" w:color="9BC2E6"/>
            </w:tcBorders>
            <w:shd w:val="clear" w:color="auto" w:fill="auto"/>
            <w:noWrap/>
            <w:vAlign w:val="bottom"/>
            <w:hideMark/>
          </w:tcPr>
          <w:p w:rsidR="006F7FDE" w:rsidRPr="00350FE5" w:rsidRDefault="006F7FDE" w:rsidP="009B4300">
            <w:pPr>
              <w:spacing w:after="0" w:line="276" w:lineRule="auto"/>
              <w:jc w:val="both"/>
              <w:rPr>
                <w:rFonts w:eastAsia="Times New Roman"/>
              </w:rPr>
            </w:pPr>
            <w:r w:rsidRPr="00350FE5">
              <w:rPr>
                <w:rFonts w:eastAsia="Times New Roman"/>
              </w:rPr>
              <w:t>0</w:t>
            </w:r>
          </w:p>
        </w:tc>
      </w:tr>
      <w:tr w:rsidR="006F7FDE" w:rsidRPr="00350FE5" w:rsidTr="0064112C">
        <w:trPr>
          <w:trHeight w:val="300"/>
        </w:trPr>
        <w:tc>
          <w:tcPr>
            <w:tcW w:w="929" w:type="pct"/>
            <w:tcBorders>
              <w:top w:val="single" w:sz="4" w:space="0" w:color="9BC2E6"/>
              <w:left w:val="single" w:sz="4" w:space="0" w:color="9BC2E6"/>
              <w:bottom w:val="single" w:sz="4" w:space="0" w:color="9BC2E6"/>
              <w:right w:val="nil"/>
            </w:tcBorders>
            <w:shd w:val="clear" w:color="DDEBF7" w:fill="DDEBF7"/>
            <w:noWrap/>
            <w:vAlign w:val="bottom"/>
            <w:hideMark/>
          </w:tcPr>
          <w:p w:rsidR="006F7FDE" w:rsidRPr="00350FE5" w:rsidRDefault="006F7FDE" w:rsidP="009B4300">
            <w:pPr>
              <w:spacing w:after="0" w:line="276" w:lineRule="auto"/>
              <w:jc w:val="both"/>
              <w:rPr>
                <w:rFonts w:eastAsia="Times New Roman"/>
              </w:rPr>
            </w:pPr>
            <w:r w:rsidRPr="00350FE5">
              <w:rPr>
                <w:rFonts w:eastAsia="Times New Roman"/>
              </w:rPr>
              <w:t>SDBs</w:t>
            </w:r>
          </w:p>
        </w:tc>
        <w:tc>
          <w:tcPr>
            <w:tcW w:w="1303" w:type="pct"/>
            <w:tcBorders>
              <w:top w:val="single" w:sz="4" w:space="0" w:color="9BC2E6"/>
              <w:left w:val="nil"/>
              <w:bottom w:val="single" w:sz="4" w:space="0" w:color="9BC2E6"/>
              <w:right w:val="nil"/>
            </w:tcBorders>
            <w:shd w:val="clear" w:color="DDEBF7" w:fill="DDEBF7"/>
            <w:noWrap/>
            <w:vAlign w:val="bottom"/>
            <w:hideMark/>
          </w:tcPr>
          <w:p w:rsidR="006F7FDE" w:rsidRPr="00350FE5" w:rsidRDefault="006F7FDE" w:rsidP="009B4300">
            <w:pPr>
              <w:spacing w:after="0" w:line="276" w:lineRule="auto"/>
              <w:jc w:val="both"/>
              <w:rPr>
                <w:rFonts w:eastAsia="Times New Roman"/>
              </w:rPr>
            </w:pPr>
            <w:r w:rsidRPr="00350FE5">
              <w:rPr>
                <w:rFonts w:eastAsia="Times New Roman"/>
              </w:rPr>
              <w:t>1</w:t>
            </w:r>
          </w:p>
        </w:tc>
        <w:tc>
          <w:tcPr>
            <w:tcW w:w="1329" w:type="pct"/>
            <w:tcBorders>
              <w:top w:val="single" w:sz="4" w:space="0" w:color="9BC2E6"/>
              <w:left w:val="nil"/>
              <w:bottom w:val="single" w:sz="4" w:space="0" w:color="9BC2E6"/>
              <w:right w:val="nil"/>
            </w:tcBorders>
            <w:shd w:val="clear" w:color="DDEBF7" w:fill="DDEBF7"/>
            <w:noWrap/>
            <w:vAlign w:val="bottom"/>
            <w:hideMark/>
          </w:tcPr>
          <w:p w:rsidR="006F7FDE" w:rsidRPr="00350FE5" w:rsidRDefault="006F7FDE" w:rsidP="009B4300">
            <w:pPr>
              <w:spacing w:after="0" w:line="276" w:lineRule="auto"/>
              <w:jc w:val="both"/>
              <w:rPr>
                <w:rFonts w:eastAsia="Times New Roman"/>
              </w:rPr>
            </w:pPr>
            <w:r w:rsidRPr="00350FE5">
              <w:rPr>
                <w:rFonts w:eastAsia="Times New Roman"/>
              </w:rPr>
              <w:t>40</w:t>
            </w:r>
          </w:p>
        </w:tc>
        <w:tc>
          <w:tcPr>
            <w:tcW w:w="1439" w:type="pct"/>
            <w:tcBorders>
              <w:top w:val="single" w:sz="4" w:space="0" w:color="9BC2E6"/>
              <w:left w:val="nil"/>
              <w:bottom w:val="single" w:sz="4" w:space="0" w:color="9BC2E6"/>
              <w:right w:val="single" w:sz="4" w:space="0" w:color="9BC2E6"/>
            </w:tcBorders>
            <w:shd w:val="clear" w:color="DDEBF7" w:fill="DDEBF7"/>
            <w:noWrap/>
            <w:vAlign w:val="bottom"/>
            <w:hideMark/>
          </w:tcPr>
          <w:p w:rsidR="006F7FDE" w:rsidRPr="00350FE5" w:rsidRDefault="006F7FDE" w:rsidP="009B4300">
            <w:pPr>
              <w:spacing w:after="0" w:line="276" w:lineRule="auto"/>
              <w:jc w:val="both"/>
              <w:rPr>
                <w:rFonts w:eastAsia="Times New Roman"/>
              </w:rPr>
            </w:pPr>
            <w:r w:rsidRPr="00350FE5">
              <w:rPr>
                <w:rFonts w:eastAsia="Times New Roman"/>
              </w:rPr>
              <w:t>0</w:t>
            </w:r>
          </w:p>
        </w:tc>
      </w:tr>
      <w:tr w:rsidR="006F7FDE" w:rsidRPr="00350FE5" w:rsidTr="0064112C">
        <w:trPr>
          <w:trHeight w:val="300"/>
        </w:trPr>
        <w:tc>
          <w:tcPr>
            <w:tcW w:w="929" w:type="pct"/>
            <w:tcBorders>
              <w:top w:val="single" w:sz="4" w:space="0" w:color="9BC2E6"/>
              <w:left w:val="single" w:sz="4" w:space="0" w:color="9BC2E6"/>
              <w:bottom w:val="single" w:sz="4" w:space="0" w:color="9BC2E6"/>
              <w:right w:val="nil"/>
            </w:tcBorders>
            <w:shd w:val="clear" w:color="auto" w:fill="auto"/>
            <w:noWrap/>
            <w:vAlign w:val="bottom"/>
            <w:hideMark/>
          </w:tcPr>
          <w:p w:rsidR="006F7FDE" w:rsidRPr="00350FE5" w:rsidRDefault="006F7FDE" w:rsidP="009B4300">
            <w:pPr>
              <w:spacing w:after="0" w:line="276" w:lineRule="auto"/>
              <w:jc w:val="both"/>
              <w:rPr>
                <w:rFonts w:eastAsia="Times New Roman"/>
              </w:rPr>
            </w:pPr>
            <w:r w:rsidRPr="00350FE5">
              <w:rPr>
                <w:rFonts w:eastAsia="Times New Roman"/>
              </w:rPr>
              <w:t>PCBs</w:t>
            </w:r>
          </w:p>
        </w:tc>
        <w:tc>
          <w:tcPr>
            <w:tcW w:w="1303" w:type="pct"/>
            <w:tcBorders>
              <w:top w:val="single" w:sz="4" w:space="0" w:color="9BC2E6"/>
              <w:left w:val="nil"/>
              <w:bottom w:val="single" w:sz="4" w:space="0" w:color="9BC2E6"/>
              <w:right w:val="nil"/>
            </w:tcBorders>
            <w:shd w:val="clear" w:color="auto" w:fill="auto"/>
            <w:noWrap/>
            <w:vAlign w:val="bottom"/>
            <w:hideMark/>
          </w:tcPr>
          <w:p w:rsidR="006F7FDE" w:rsidRPr="00350FE5" w:rsidRDefault="006F7FDE" w:rsidP="009B4300">
            <w:pPr>
              <w:spacing w:after="0" w:line="276" w:lineRule="auto"/>
              <w:jc w:val="both"/>
              <w:rPr>
                <w:rFonts w:eastAsia="Times New Roman"/>
              </w:rPr>
            </w:pPr>
            <w:r w:rsidRPr="00350FE5">
              <w:rPr>
                <w:rFonts w:eastAsia="Times New Roman"/>
              </w:rPr>
              <w:t>149</w:t>
            </w:r>
          </w:p>
        </w:tc>
        <w:tc>
          <w:tcPr>
            <w:tcW w:w="1329" w:type="pct"/>
            <w:tcBorders>
              <w:top w:val="single" w:sz="4" w:space="0" w:color="9BC2E6"/>
              <w:left w:val="nil"/>
              <w:bottom w:val="single" w:sz="4" w:space="0" w:color="9BC2E6"/>
              <w:right w:val="nil"/>
            </w:tcBorders>
            <w:shd w:val="clear" w:color="auto" w:fill="auto"/>
            <w:noWrap/>
            <w:vAlign w:val="bottom"/>
            <w:hideMark/>
          </w:tcPr>
          <w:p w:rsidR="006F7FDE" w:rsidRPr="00350FE5" w:rsidRDefault="006F7FDE" w:rsidP="009B4300">
            <w:pPr>
              <w:spacing w:after="0" w:line="276" w:lineRule="auto"/>
              <w:jc w:val="both"/>
              <w:rPr>
                <w:rFonts w:eastAsia="Times New Roman"/>
              </w:rPr>
            </w:pPr>
            <w:r w:rsidRPr="00350FE5">
              <w:rPr>
                <w:rFonts w:eastAsia="Times New Roman"/>
              </w:rPr>
              <w:t>5886</w:t>
            </w:r>
          </w:p>
        </w:tc>
        <w:tc>
          <w:tcPr>
            <w:tcW w:w="1439" w:type="pct"/>
            <w:tcBorders>
              <w:top w:val="single" w:sz="4" w:space="0" w:color="9BC2E6"/>
              <w:left w:val="nil"/>
              <w:bottom w:val="single" w:sz="4" w:space="0" w:color="9BC2E6"/>
              <w:right w:val="single" w:sz="4" w:space="0" w:color="9BC2E6"/>
            </w:tcBorders>
            <w:shd w:val="clear" w:color="auto" w:fill="auto"/>
            <w:noWrap/>
            <w:vAlign w:val="bottom"/>
            <w:hideMark/>
          </w:tcPr>
          <w:p w:rsidR="006F7FDE" w:rsidRPr="00350FE5" w:rsidRDefault="006F7FDE" w:rsidP="009B4300">
            <w:pPr>
              <w:spacing w:after="0" w:line="276" w:lineRule="auto"/>
              <w:jc w:val="both"/>
              <w:rPr>
                <w:rFonts w:eastAsia="Times New Roman"/>
              </w:rPr>
            </w:pPr>
            <w:r w:rsidRPr="00350FE5">
              <w:rPr>
                <w:rFonts w:eastAsia="Times New Roman"/>
              </w:rPr>
              <w:t>61</w:t>
            </w:r>
          </w:p>
        </w:tc>
      </w:tr>
      <w:tr w:rsidR="006F7FDE" w:rsidRPr="00350FE5" w:rsidTr="0064112C">
        <w:trPr>
          <w:trHeight w:val="300"/>
        </w:trPr>
        <w:tc>
          <w:tcPr>
            <w:tcW w:w="929" w:type="pct"/>
            <w:tcBorders>
              <w:top w:val="single" w:sz="4" w:space="0" w:color="9BC2E6"/>
              <w:left w:val="single" w:sz="4" w:space="0" w:color="9BC2E6"/>
              <w:bottom w:val="single" w:sz="4" w:space="0" w:color="9BC2E6"/>
              <w:right w:val="nil"/>
            </w:tcBorders>
            <w:shd w:val="clear" w:color="DDEBF7" w:fill="DDEBF7"/>
            <w:noWrap/>
            <w:vAlign w:val="bottom"/>
            <w:hideMark/>
          </w:tcPr>
          <w:p w:rsidR="006F7FDE" w:rsidRPr="00350FE5" w:rsidRDefault="006F7FDE" w:rsidP="009B4300">
            <w:pPr>
              <w:spacing w:after="0" w:line="276" w:lineRule="auto"/>
              <w:jc w:val="both"/>
              <w:rPr>
                <w:rFonts w:eastAsia="Times New Roman"/>
              </w:rPr>
            </w:pPr>
            <w:r w:rsidRPr="00350FE5">
              <w:rPr>
                <w:rFonts w:eastAsia="Times New Roman"/>
              </w:rPr>
              <w:t>FCBs</w:t>
            </w:r>
          </w:p>
        </w:tc>
        <w:tc>
          <w:tcPr>
            <w:tcW w:w="1303" w:type="pct"/>
            <w:tcBorders>
              <w:top w:val="single" w:sz="4" w:space="0" w:color="9BC2E6"/>
              <w:left w:val="nil"/>
              <w:bottom w:val="single" w:sz="4" w:space="0" w:color="9BC2E6"/>
              <w:right w:val="nil"/>
            </w:tcBorders>
            <w:shd w:val="clear" w:color="DDEBF7" w:fill="DDEBF7"/>
            <w:noWrap/>
            <w:vAlign w:val="bottom"/>
            <w:hideMark/>
          </w:tcPr>
          <w:p w:rsidR="006F7FDE" w:rsidRPr="00350FE5" w:rsidRDefault="006F7FDE" w:rsidP="009B4300">
            <w:pPr>
              <w:spacing w:after="0" w:line="276" w:lineRule="auto"/>
              <w:jc w:val="both"/>
              <w:rPr>
                <w:rFonts w:eastAsia="Times New Roman"/>
              </w:rPr>
            </w:pPr>
            <w:r w:rsidRPr="00350FE5">
              <w:rPr>
                <w:rFonts w:eastAsia="Times New Roman"/>
              </w:rPr>
              <w:t>46</w:t>
            </w:r>
          </w:p>
        </w:tc>
        <w:tc>
          <w:tcPr>
            <w:tcW w:w="1329" w:type="pct"/>
            <w:tcBorders>
              <w:top w:val="single" w:sz="4" w:space="0" w:color="9BC2E6"/>
              <w:left w:val="nil"/>
              <w:bottom w:val="single" w:sz="4" w:space="0" w:color="9BC2E6"/>
              <w:right w:val="nil"/>
            </w:tcBorders>
            <w:shd w:val="clear" w:color="DDEBF7" w:fill="DDEBF7"/>
            <w:noWrap/>
            <w:vAlign w:val="bottom"/>
            <w:hideMark/>
          </w:tcPr>
          <w:p w:rsidR="006F7FDE" w:rsidRPr="00350FE5" w:rsidRDefault="006F7FDE" w:rsidP="009B4300">
            <w:pPr>
              <w:spacing w:after="0" w:line="276" w:lineRule="auto"/>
              <w:jc w:val="both"/>
              <w:rPr>
                <w:rFonts w:eastAsia="Times New Roman"/>
              </w:rPr>
            </w:pPr>
            <w:r w:rsidRPr="00350FE5">
              <w:rPr>
                <w:rFonts w:eastAsia="Times New Roman"/>
              </w:rPr>
              <w:t>973</w:t>
            </w:r>
          </w:p>
        </w:tc>
        <w:tc>
          <w:tcPr>
            <w:tcW w:w="1439" w:type="pct"/>
            <w:tcBorders>
              <w:top w:val="single" w:sz="4" w:space="0" w:color="9BC2E6"/>
              <w:left w:val="nil"/>
              <w:bottom w:val="single" w:sz="4" w:space="0" w:color="9BC2E6"/>
              <w:right w:val="single" w:sz="4" w:space="0" w:color="9BC2E6"/>
            </w:tcBorders>
            <w:shd w:val="clear" w:color="DDEBF7" w:fill="DDEBF7"/>
            <w:noWrap/>
            <w:vAlign w:val="bottom"/>
            <w:hideMark/>
          </w:tcPr>
          <w:p w:rsidR="006F7FDE" w:rsidRPr="00350FE5" w:rsidRDefault="006F7FDE" w:rsidP="009B4300">
            <w:pPr>
              <w:spacing w:after="0" w:line="276" w:lineRule="auto"/>
              <w:jc w:val="both"/>
              <w:rPr>
                <w:rFonts w:eastAsia="Times New Roman"/>
              </w:rPr>
            </w:pPr>
            <w:r w:rsidRPr="00350FE5">
              <w:rPr>
                <w:rFonts w:eastAsia="Times New Roman"/>
              </w:rPr>
              <w:t>10</w:t>
            </w:r>
          </w:p>
        </w:tc>
      </w:tr>
      <w:tr w:rsidR="006F7FDE" w:rsidRPr="00350FE5" w:rsidTr="0064112C">
        <w:trPr>
          <w:trHeight w:val="300"/>
        </w:trPr>
        <w:tc>
          <w:tcPr>
            <w:tcW w:w="929" w:type="pct"/>
            <w:tcBorders>
              <w:top w:val="single" w:sz="4" w:space="0" w:color="9BC2E6"/>
              <w:left w:val="single" w:sz="4" w:space="0" w:color="9BC2E6"/>
              <w:bottom w:val="single" w:sz="4" w:space="0" w:color="9BC2E6"/>
              <w:right w:val="nil"/>
            </w:tcBorders>
            <w:shd w:val="clear" w:color="auto" w:fill="auto"/>
            <w:noWrap/>
            <w:vAlign w:val="bottom"/>
            <w:hideMark/>
          </w:tcPr>
          <w:p w:rsidR="006F7FDE" w:rsidRPr="00350FE5" w:rsidRDefault="006F7FDE" w:rsidP="009B4300">
            <w:pPr>
              <w:spacing w:after="0" w:line="276" w:lineRule="auto"/>
              <w:jc w:val="both"/>
              <w:rPr>
                <w:rFonts w:eastAsia="Times New Roman"/>
              </w:rPr>
            </w:pPr>
            <w:r w:rsidRPr="00350FE5">
              <w:rPr>
                <w:rFonts w:eastAsia="Times New Roman"/>
              </w:rPr>
              <w:t>Total</w:t>
            </w:r>
          </w:p>
        </w:tc>
        <w:tc>
          <w:tcPr>
            <w:tcW w:w="1303" w:type="pct"/>
            <w:tcBorders>
              <w:top w:val="single" w:sz="4" w:space="0" w:color="9BC2E6"/>
              <w:left w:val="nil"/>
              <w:bottom w:val="single" w:sz="4" w:space="0" w:color="9BC2E6"/>
              <w:right w:val="nil"/>
            </w:tcBorders>
            <w:shd w:val="clear" w:color="auto" w:fill="auto"/>
            <w:noWrap/>
            <w:vAlign w:val="bottom"/>
            <w:hideMark/>
          </w:tcPr>
          <w:p w:rsidR="006F7FDE" w:rsidRPr="00350FE5" w:rsidRDefault="006F7FDE" w:rsidP="009B4300">
            <w:pPr>
              <w:spacing w:after="0" w:line="276" w:lineRule="auto"/>
              <w:jc w:val="both"/>
              <w:rPr>
                <w:rFonts w:eastAsia="Times New Roman"/>
              </w:rPr>
            </w:pPr>
            <w:r w:rsidRPr="00350FE5">
              <w:rPr>
                <w:rFonts w:eastAsia="Times New Roman"/>
              </w:rPr>
              <w:t>255</w:t>
            </w:r>
          </w:p>
        </w:tc>
        <w:tc>
          <w:tcPr>
            <w:tcW w:w="1329" w:type="pct"/>
            <w:tcBorders>
              <w:top w:val="single" w:sz="4" w:space="0" w:color="9BC2E6"/>
              <w:left w:val="nil"/>
              <w:bottom w:val="single" w:sz="4" w:space="0" w:color="9BC2E6"/>
              <w:right w:val="nil"/>
            </w:tcBorders>
            <w:shd w:val="clear" w:color="auto" w:fill="auto"/>
            <w:noWrap/>
            <w:vAlign w:val="bottom"/>
            <w:hideMark/>
          </w:tcPr>
          <w:p w:rsidR="006F7FDE" w:rsidRPr="00350FE5" w:rsidRDefault="006F7FDE" w:rsidP="009B4300">
            <w:pPr>
              <w:spacing w:after="0" w:line="276" w:lineRule="auto"/>
              <w:jc w:val="both"/>
              <w:rPr>
                <w:rFonts w:eastAsia="Times New Roman"/>
              </w:rPr>
            </w:pPr>
            <w:r w:rsidRPr="00350FE5">
              <w:rPr>
                <w:rFonts w:eastAsia="Times New Roman"/>
              </w:rPr>
              <w:t>8007</w:t>
            </w:r>
          </w:p>
        </w:tc>
        <w:tc>
          <w:tcPr>
            <w:tcW w:w="1439" w:type="pct"/>
            <w:tcBorders>
              <w:top w:val="single" w:sz="4" w:space="0" w:color="9BC2E6"/>
              <w:left w:val="nil"/>
              <w:bottom w:val="single" w:sz="4" w:space="0" w:color="9BC2E6"/>
              <w:right w:val="single" w:sz="4" w:space="0" w:color="9BC2E6"/>
            </w:tcBorders>
            <w:shd w:val="clear" w:color="auto" w:fill="auto"/>
            <w:noWrap/>
            <w:vAlign w:val="bottom"/>
            <w:hideMark/>
          </w:tcPr>
          <w:p w:rsidR="006F7FDE" w:rsidRPr="00350FE5" w:rsidRDefault="006F7FDE" w:rsidP="009B4300">
            <w:pPr>
              <w:spacing w:after="0" w:line="276" w:lineRule="auto"/>
              <w:jc w:val="both"/>
              <w:rPr>
                <w:rFonts w:eastAsia="Times New Roman"/>
              </w:rPr>
            </w:pPr>
            <w:r w:rsidRPr="00350FE5">
              <w:rPr>
                <w:rFonts w:eastAsia="Times New Roman"/>
              </w:rPr>
              <w:t>71</w:t>
            </w:r>
          </w:p>
        </w:tc>
      </w:tr>
    </w:tbl>
    <w:p w:rsidR="006F7FDE" w:rsidRPr="00350FE5" w:rsidRDefault="006F7FDE" w:rsidP="009B4300">
      <w:pPr>
        <w:pStyle w:val="Default"/>
        <w:spacing w:line="276" w:lineRule="auto"/>
        <w:contextualSpacing/>
        <w:jc w:val="both"/>
        <w:rPr>
          <w:noProof/>
          <w:color w:val="000000" w:themeColor="text1"/>
        </w:rPr>
      </w:pPr>
      <w:r w:rsidRPr="00350FE5">
        <w:rPr>
          <w:noProof/>
          <w:color w:val="000000" w:themeColor="text1"/>
        </w:rPr>
        <w:t>Source: Researcher accumulation from sustainable development report of Bangladesh Bank.</w:t>
      </w:r>
    </w:p>
    <w:p w:rsidR="006F7FDE" w:rsidRPr="00350FE5" w:rsidRDefault="006F7FDE" w:rsidP="009B4300">
      <w:pPr>
        <w:autoSpaceDE w:val="0"/>
        <w:autoSpaceDN w:val="0"/>
        <w:adjustRightInd w:val="0"/>
        <w:spacing w:after="0" w:line="276" w:lineRule="auto"/>
        <w:contextualSpacing/>
        <w:jc w:val="both"/>
        <w:rPr>
          <w:noProof/>
        </w:rPr>
      </w:pPr>
      <w:r w:rsidRPr="00350FE5">
        <w:rPr>
          <w:noProof/>
        </w:rPr>
        <w:t xml:space="preserve">Table 17 shows banks’ in-house training, awareness, and capacity-building arrangement on green banking activities in Q3, 2023. SOCBs arranged 59 programs; </w:t>
      </w:r>
      <w:r w:rsidRPr="00350FE5">
        <w:rPr>
          <w:noProof/>
        </w:rPr>
        <w:lastRenderedPageBreak/>
        <w:t>1108 staff attended, and no clients attended. SDBs arranged only one program participated, 40 employees, and no customers attended. PCBs arranged the highest number of 149 programs, with 5886 employees and had the highest number of 61 clients. Finally, FCB arranged 46 programs that delegated 973 to 10 customers.</w:t>
      </w:r>
    </w:p>
    <w:p w:rsidR="00E94C95" w:rsidRPr="00350FE5" w:rsidRDefault="00FB2789" w:rsidP="009B4300">
      <w:pPr>
        <w:autoSpaceDE w:val="0"/>
        <w:autoSpaceDN w:val="0"/>
        <w:adjustRightInd w:val="0"/>
        <w:spacing w:after="0" w:line="276" w:lineRule="auto"/>
        <w:contextualSpacing/>
        <w:jc w:val="both"/>
        <w:rPr>
          <w:b/>
          <w:noProof/>
        </w:rPr>
      </w:pPr>
      <w:r>
        <w:rPr>
          <w:b/>
          <w:noProof/>
        </w:rPr>
        <w:t>5.</w:t>
      </w:r>
      <w:r w:rsidR="00E94002" w:rsidRPr="00350FE5">
        <w:rPr>
          <w:b/>
          <w:noProof/>
        </w:rPr>
        <w:t xml:space="preserve"> </w:t>
      </w:r>
      <w:r w:rsidR="00E94C95" w:rsidRPr="00350FE5">
        <w:rPr>
          <w:b/>
          <w:noProof/>
        </w:rPr>
        <w:t>Findings</w:t>
      </w:r>
    </w:p>
    <w:p w:rsidR="006F7FDE" w:rsidRPr="00350FE5" w:rsidRDefault="00E94C95" w:rsidP="009B4300">
      <w:pPr>
        <w:spacing w:after="0" w:line="276" w:lineRule="auto"/>
        <w:jc w:val="both"/>
        <w:rPr>
          <w:rFonts w:eastAsia="Times New Roman"/>
          <w:color w:val="0E101A"/>
        </w:rPr>
      </w:pPr>
      <w:r w:rsidRPr="00350FE5">
        <w:rPr>
          <w:rFonts w:eastAsia="Times New Roman"/>
          <w:color w:val="0E101A"/>
        </w:rPr>
        <w:t>a</w:t>
      </w:r>
      <w:r w:rsidR="006F7FDE" w:rsidRPr="00350FE5">
        <w:rPr>
          <w:rFonts w:eastAsia="Times New Roman"/>
          <w:color w:val="0E101A"/>
        </w:rPr>
        <w:t xml:space="preserve">) </w:t>
      </w:r>
      <w:r w:rsidR="002957F7" w:rsidRPr="00350FE5">
        <w:rPr>
          <w:rFonts w:eastAsia="Times New Roman"/>
          <w:color w:val="0E101A"/>
        </w:rPr>
        <w:t>Out of 61 o</w:t>
      </w:r>
      <w:r w:rsidR="006F7FDE" w:rsidRPr="00350FE5">
        <w:rPr>
          <w:rFonts w:eastAsia="Times New Roman"/>
          <w:color w:val="0E101A"/>
        </w:rPr>
        <w:t>nly 22 commercial banks fulfill the GF ≥5%</w:t>
      </w:r>
      <w:r w:rsidR="002957F7" w:rsidRPr="00350FE5">
        <w:rPr>
          <w:rFonts w:eastAsia="Times New Roman"/>
          <w:color w:val="0E101A"/>
        </w:rPr>
        <w:t xml:space="preserve"> target</w:t>
      </w:r>
      <w:r w:rsidR="006F7FDE" w:rsidRPr="00350FE5">
        <w:rPr>
          <w:rFonts w:eastAsia="Times New Roman"/>
          <w:color w:val="0E101A"/>
        </w:rPr>
        <w:t xml:space="preserve"> of total term loan disbursement set by Bangladesh Bank. Among them, UCB PLC held the top position, at 36.21%, followed by Jamuna Bank PLC at 29.85%, IBBL PLC at 22.42%, and Bank Asia in the last position at 5.47%.</w:t>
      </w:r>
    </w:p>
    <w:p w:rsidR="006F7FDE" w:rsidRPr="00350FE5" w:rsidRDefault="00E94C95" w:rsidP="009B4300">
      <w:pPr>
        <w:spacing w:after="0" w:line="276" w:lineRule="auto"/>
        <w:jc w:val="both"/>
        <w:rPr>
          <w:rFonts w:eastAsia="Times New Roman"/>
          <w:color w:val="0E101A"/>
        </w:rPr>
      </w:pPr>
      <w:r w:rsidRPr="00350FE5">
        <w:rPr>
          <w:rFonts w:eastAsia="Times New Roman"/>
          <w:color w:val="0E101A"/>
        </w:rPr>
        <w:t>b</w:t>
      </w:r>
      <w:r w:rsidR="006F7FDE" w:rsidRPr="00350FE5">
        <w:rPr>
          <w:rFonts w:eastAsia="Times New Roman"/>
          <w:color w:val="0E101A"/>
        </w:rPr>
        <w:t xml:space="preserve">) On the other hand, only 17 commercial banks fulfill the sustainable financing target SF ≥20% of the total term loan disbursement set by Bangladesh Bank. In Q4, 2023, 17 banks out of 61 had exposure to green finance, whereas 16 banks were PCBs. Only Bangladesh Krishi Bank (SDBs) occupied the top position, accounting for 56.48% of sustainable finance. Next to NRB Commercial Bank PLC 42.86%, BRAC Bank PLC 41.32%, etc., and Jamuna Bank PLC stood last position at 21.57%. </w:t>
      </w:r>
    </w:p>
    <w:p w:rsidR="006F7FDE" w:rsidRPr="00350FE5" w:rsidRDefault="00E94C95" w:rsidP="009B4300">
      <w:pPr>
        <w:spacing w:after="0" w:line="276" w:lineRule="auto"/>
        <w:jc w:val="both"/>
        <w:rPr>
          <w:rFonts w:eastAsia="Times New Roman"/>
          <w:color w:val="0E101A"/>
        </w:rPr>
      </w:pPr>
      <w:r w:rsidRPr="00350FE5">
        <w:rPr>
          <w:rFonts w:eastAsia="Times New Roman"/>
          <w:color w:val="0E101A"/>
        </w:rPr>
        <w:t>c</w:t>
      </w:r>
      <w:r w:rsidR="006F7FDE" w:rsidRPr="00350FE5">
        <w:rPr>
          <w:rFonts w:eastAsia="Times New Roman"/>
          <w:color w:val="0E101A"/>
        </w:rPr>
        <w:t xml:space="preserve">) The study also found the total target achieved by banks was 9.09% in GF of the total loan disbursement and 27.24% in SF, which exceeded the target set by </w:t>
      </w:r>
      <w:r w:rsidR="002957F7" w:rsidRPr="00350FE5">
        <w:rPr>
          <w:rFonts w:eastAsia="Times New Roman"/>
          <w:color w:val="0E101A"/>
        </w:rPr>
        <w:t>the central bank of Bangladesh.</w:t>
      </w:r>
    </w:p>
    <w:p w:rsidR="002957F7" w:rsidRPr="00350FE5" w:rsidRDefault="002957F7" w:rsidP="009B4300">
      <w:pPr>
        <w:spacing w:after="0" w:line="276" w:lineRule="auto"/>
        <w:jc w:val="both"/>
        <w:rPr>
          <w:rFonts w:eastAsia="Times New Roman"/>
          <w:color w:val="0E101A"/>
        </w:rPr>
      </w:pPr>
      <w:r w:rsidRPr="00350FE5">
        <w:rPr>
          <w:rFonts w:eastAsia="Times New Roman"/>
          <w:color w:val="0E101A"/>
        </w:rPr>
        <w:t xml:space="preserve">d) </w:t>
      </w:r>
      <w:r w:rsidRPr="00350FE5">
        <w:rPr>
          <w:bCs/>
        </w:rPr>
        <w:t>PCBs green finance is 11.37% and sustainable finance is 40.01</w:t>
      </w:r>
      <w:r w:rsidR="0095081B" w:rsidRPr="00350FE5">
        <w:rPr>
          <w:bCs/>
        </w:rPr>
        <w:t xml:space="preserve">% hold the highest position in </w:t>
      </w:r>
      <w:r w:rsidRPr="00350FE5">
        <w:rPr>
          <w:rFonts w:eastAsia="Times New Roman"/>
          <w:color w:val="0E101A"/>
        </w:rPr>
        <w:t>2023.</w:t>
      </w:r>
    </w:p>
    <w:p w:rsidR="000D0D85" w:rsidRPr="00350FE5" w:rsidRDefault="000D0D85" w:rsidP="009B4300">
      <w:pPr>
        <w:spacing w:after="0" w:line="276" w:lineRule="auto"/>
        <w:jc w:val="both"/>
        <w:rPr>
          <w:rFonts w:eastAsia="Times New Roman"/>
          <w:color w:val="0E101A"/>
        </w:rPr>
      </w:pPr>
      <w:r w:rsidRPr="00350FE5">
        <w:rPr>
          <w:rFonts w:eastAsia="Times New Roman"/>
          <w:color w:val="0E101A"/>
        </w:rPr>
        <w:t>e)</w:t>
      </w:r>
      <w:r w:rsidR="0095081B" w:rsidRPr="00350FE5">
        <w:rPr>
          <w:noProof/>
        </w:rPr>
        <w:t xml:space="preserve"> Table 8 shows that out of  9662 branches PCBs owned the highest 4217 branches followed by SOCBs 2835, SDBs 1541, and FCBs 69 branches functioning in Bangladesh. But unfortunately, SDBs have no branches powered by solar energy. PCBs have the highest 339, SOCBs have 80 and FCBs have only 8 branches powered by solar energy. In respect of ATM booths, SOCBs have the highest 571, followed by PCBs have 142, FCBs have 4 and SDBs have 0 ATM booths powered by solar energy.</w:t>
      </w:r>
    </w:p>
    <w:p w:rsidR="0095081B" w:rsidRPr="00350FE5" w:rsidRDefault="000D0D85" w:rsidP="009B4300">
      <w:pPr>
        <w:spacing w:after="0" w:line="276" w:lineRule="auto"/>
        <w:contextualSpacing/>
        <w:jc w:val="both"/>
        <w:rPr>
          <w:rFonts w:eastAsia="Times New Roman"/>
        </w:rPr>
      </w:pPr>
      <w:r w:rsidRPr="00350FE5">
        <w:rPr>
          <w:rFonts w:eastAsia="Times New Roman"/>
          <w:color w:val="0E101A"/>
        </w:rPr>
        <w:t>f)</w:t>
      </w:r>
      <w:r w:rsidR="0095081B" w:rsidRPr="00350FE5">
        <w:rPr>
          <w:bCs/>
        </w:rPr>
        <w:t xml:space="preserve"> Table 5 shows, </w:t>
      </w:r>
      <w:r w:rsidR="0095081B" w:rsidRPr="00350FE5">
        <w:rPr>
          <w:rFonts w:eastAsia="Times New Roman"/>
        </w:rPr>
        <w:t xml:space="preserve">Installation of Machineries (Energy Auditor Certified) is 289.34 million BDT the highest investment, next to Energy Efficiency Technology is 110.23, Establishment of Green Industry is 9.93, Safety and working Environment of Factory </w:t>
      </w:r>
      <w:proofErr w:type="gramStart"/>
      <w:r w:rsidR="0095081B" w:rsidRPr="00350FE5">
        <w:rPr>
          <w:rFonts w:eastAsia="Times New Roman"/>
        </w:rPr>
        <w:t>related  is</w:t>
      </w:r>
      <w:proofErr w:type="gramEnd"/>
      <w:r w:rsidR="0095081B" w:rsidRPr="00350FE5">
        <w:rPr>
          <w:rFonts w:eastAsia="Times New Roman"/>
        </w:rPr>
        <w:t xml:space="preserve"> 8.8 and Combination of Biological and Chemical ETP is 4.47 respectfully.</w:t>
      </w:r>
    </w:p>
    <w:p w:rsidR="0095081B" w:rsidRPr="00350FE5" w:rsidRDefault="0095081B" w:rsidP="009B4300">
      <w:pPr>
        <w:pStyle w:val="Default"/>
        <w:spacing w:line="276" w:lineRule="auto"/>
        <w:contextualSpacing/>
        <w:jc w:val="both"/>
        <w:rPr>
          <w:color w:val="000000" w:themeColor="text1"/>
        </w:rPr>
      </w:pPr>
      <w:r w:rsidRPr="00350FE5">
        <w:rPr>
          <w:rFonts w:eastAsia="Times New Roman"/>
        </w:rPr>
        <w:t>g)</w:t>
      </w:r>
      <w:r w:rsidRPr="00350FE5">
        <w:rPr>
          <w:color w:val="000000" w:themeColor="text1"/>
        </w:rPr>
        <w:t xml:space="preserve"> The chart 1 shows 14 products of BB’s refinance fund allotment for the commercial banks in Bangladesh. It shows 11 years grand total of loan disbursement where green industry holds first position accounting Tk. 2244.37 million (31.06%) of total term loan and vermicomposting belongs to the last position accounting Tk. 12.26 million (0.16%) of total term loan.</w:t>
      </w:r>
    </w:p>
    <w:p w:rsidR="00621AEB" w:rsidRPr="00350FE5" w:rsidRDefault="0095081B" w:rsidP="009B4300">
      <w:pPr>
        <w:spacing w:after="0" w:line="276" w:lineRule="auto"/>
        <w:contextualSpacing/>
        <w:jc w:val="both"/>
        <w:rPr>
          <w:bCs/>
        </w:rPr>
      </w:pPr>
      <w:r w:rsidRPr="00350FE5">
        <w:t>h)</w:t>
      </w:r>
      <w:r w:rsidR="00621AEB" w:rsidRPr="00350FE5">
        <w:rPr>
          <w:bCs/>
        </w:rPr>
        <w:t xml:space="preserve"> Chart 2 shows the banks' GF trend over the last seven years. PCBs show a positive upward growth trend from 2015 to 2019 but a slight downward trend in 2020, whereas FCBs show an upward trend in 2019 and 2020. So, it can be said that Private Commercial Banks (PCBs) play a significant role in GF by investing in green projects.</w:t>
      </w:r>
    </w:p>
    <w:p w:rsidR="00621AEB" w:rsidRPr="00350FE5" w:rsidRDefault="00621AEB" w:rsidP="009B4300">
      <w:pPr>
        <w:spacing w:after="0" w:line="276" w:lineRule="auto"/>
        <w:contextualSpacing/>
        <w:jc w:val="both"/>
        <w:rPr>
          <w:rFonts w:eastAsia="Times New Roman"/>
        </w:rPr>
      </w:pPr>
      <w:proofErr w:type="spellStart"/>
      <w:r w:rsidRPr="00350FE5">
        <w:t>i</w:t>
      </w:r>
      <w:proofErr w:type="spellEnd"/>
      <w:r w:rsidRPr="00350FE5">
        <w:t xml:space="preserve">) Table 4 shows that SOCBs invest highest in Green SRF 820.31, SDBs in renewable energy 9.04, PCBs in Energy efficiency </w:t>
      </w:r>
      <w:r w:rsidRPr="00350FE5">
        <w:rPr>
          <w:rFonts w:eastAsia="Times New Roman"/>
        </w:rPr>
        <w:t>15379.29 and FCBs in green SRF 465.33 million BDT respectfully.</w:t>
      </w:r>
    </w:p>
    <w:p w:rsidR="00621AEB" w:rsidRPr="00350FE5" w:rsidRDefault="00621AEB" w:rsidP="009B4300">
      <w:pPr>
        <w:spacing w:after="0" w:line="276" w:lineRule="auto"/>
        <w:contextualSpacing/>
        <w:jc w:val="both"/>
        <w:rPr>
          <w:rFonts w:eastAsia="Times New Roman"/>
        </w:rPr>
      </w:pPr>
      <w:r w:rsidRPr="00350FE5">
        <w:rPr>
          <w:rFonts w:eastAsia="Times New Roman"/>
        </w:rPr>
        <w:t xml:space="preserve">j) </w:t>
      </w:r>
      <w:r w:rsidRPr="00350FE5">
        <w:rPr>
          <w:bCs/>
        </w:rPr>
        <w:t xml:space="preserve">Table 5 shows, </w:t>
      </w:r>
      <w:r w:rsidRPr="00350FE5">
        <w:rPr>
          <w:rFonts w:eastAsia="Times New Roman"/>
        </w:rPr>
        <w:t xml:space="preserve">Installation of Machineries (Energy Auditor Certified) is 289.34 million BDT the highest investment, next to Energy Efficiency Technology is 110.23, </w:t>
      </w:r>
      <w:r w:rsidRPr="00350FE5">
        <w:rPr>
          <w:rFonts w:eastAsia="Times New Roman"/>
        </w:rPr>
        <w:lastRenderedPageBreak/>
        <w:t xml:space="preserve">Establishment of Green Industry is 9.93, Safety and working Environment of Factory </w:t>
      </w:r>
      <w:proofErr w:type="gramStart"/>
      <w:r w:rsidRPr="00350FE5">
        <w:rPr>
          <w:rFonts w:eastAsia="Times New Roman"/>
        </w:rPr>
        <w:t>related  is</w:t>
      </w:r>
      <w:proofErr w:type="gramEnd"/>
      <w:r w:rsidRPr="00350FE5">
        <w:rPr>
          <w:rFonts w:eastAsia="Times New Roman"/>
        </w:rPr>
        <w:t xml:space="preserve"> 8.8 and Combination of Biological and Chemical ETP is 4.47 respectfully.</w:t>
      </w:r>
    </w:p>
    <w:p w:rsidR="00621AEB" w:rsidRPr="00350FE5" w:rsidRDefault="00621AEB" w:rsidP="009B4300">
      <w:pPr>
        <w:spacing w:after="0" w:line="276" w:lineRule="auto"/>
        <w:contextualSpacing/>
        <w:jc w:val="both"/>
        <w:rPr>
          <w:rFonts w:eastAsia="Times New Roman"/>
        </w:rPr>
      </w:pPr>
    </w:p>
    <w:p w:rsidR="006F7FDE" w:rsidRPr="00350FE5" w:rsidRDefault="00FB2789" w:rsidP="009B4300">
      <w:pPr>
        <w:pStyle w:val="NormalWeb"/>
        <w:spacing w:before="0" w:beforeAutospacing="0" w:after="0" w:afterAutospacing="0" w:line="276" w:lineRule="auto"/>
        <w:contextualSpacing/>
        <w:jc w:val="both"/>
        <w:rPr>
          <w:rStyle w:val="Strong"/>
        </w:rPr>
      </w:pPr>
      <w:r>
        <w:rPr>
          <w:rStyle w:val="Strong"/>
        </w:rPr>
        <w:t xml:space="preserve">6. </w:t>
      </w:r>
      <w:r w:rsidR="006F7FDE" w:rsidRPr="00350FE5">
        <w:rPr>
          <w:rStyle w:val="Strong"/>
        </w:rPr>
        <w:t xml:space="preserve">Conclusion </w:t>
      </w:r>
      <w:r>
        <w:rPr>
          <w:rStyle w:val="Strong"/>
        </w:rPr>
        <w:t>and Implication</w:t>
      </w:r>
      <w:r w:rsidR="006F7FDE" w:rsidRPr="00350FE5">
        <w:rPr>
          <w:rStyle w:val="Strong"/>
        </w:rPr>
        <w:t xml:space="preserve">   </w:t>
      </w:r>
    </w:p>
    <w:p w:rsidR="00F04A08" w:rsidRDefault="00FB2789" w:rsidP="009B4300">
      <w:pPr>
        <w:pStyle w:val="Default"/>
        <w:spacing w:line="276" w:lineRule="auto"/>
        <w:contextualSpacing/>
        <w:jc w:val="both"/>
        <w:rPr>
          <w:color w:val="000000" w:themeColor="text1"/>
        </w:rPr>
      </w:pPr>
      <w:r>
        <w:rPr>
          <w:rFonts w:eastAsia="Times New Roman"/>
          <w:color w:val="0E101A"/>
        </w:rPr>
        <w:t xml:space="preserve"> The principal goal of the study was to depict the status of green financing as well as sustainable financing of financial institutions in Bangladesh. The results found almost all banks established sustainable finance unit in their own arena and fulfill the SF target and GF target set by Bangladesh bank. </w:t>
      </w:r>
      <w:r w:rsidR="006F7FDE" w:rsidRPr="00350FE5">
        <w:rPr>
          <w:rFonts w:eastAsia="Times New Roman"/>
          <w:color w:val="0E101A"/>
        </w:rPr>
        <w:t xml:space="preserve">Bangladesh is a defenseless country regarding environmental transformation risk, so it should move onward by integrating green financing projects into conventional investment. BB has also familiarized itself with several policy choices for social, economic, and environmental safeguards for financial institutions to follow while disbursing loans.  Bangladesh is facing severe environmental degradation due to the destruction of water bodies, exhaustion of soil nutrients, massive air and water pollution, indiscriminate cutting of trees, improper dumping of business effluent, medical left-over, household garbage, damage of biodiversity, decrease of sweeping spaces, etc. as corporate citizenship commercial banks have a unique part and social concern in enhancing government endeavors towards environmental pollution. The motto of financial institutions is </w:t>
      </w:r>
      <w:r w:rsidR="009F4DAF" w:rsidRPr="00350FE5">
        <w:rPr>
          <w:rFonts w:eastAsia="Times New Roman"/>
          <w:color w:val="0E101A"/>
        </w:rPr>
        <w:t xml:space="preserve">to </w:t>
      </w:r>
      <w:r w:rsidR="006F7FDE" w:rsidRPr="00350FE5">
        <w:rPr>
          <w:rFonts w:eastAsia="Times New Roman"/>
          <w:color w:val="0E101A"/>
        </w:rPr>
        <w:t xml:space="preserve">minimize legal risk, credit risk, and reputation risk, and maximize profit.  Bangladesh Bank has set some slogans regarding green banking as </w:t>
      </w:r>
      <w:proofErr w:type="spellStart"/>
      <w:r w:rsidR="006F7FDE" w:rsidRPr="00350FE5">
        <w:rPr>
          <w:rFonts w:eastAsia="Times New Roman"/>
          <w:color w:val="0E101A"/>
        </w:rPr>
        <w:t>i</w:t>
      </w:r>
      <w:proofErr w:type="spellEnd"/>
      <w:r w:rsidR="006F7FDE" w:rsidRPr="00350FE5">
        <w:rPr>
          <w:rFonts w:eastAsia="Times New Roman"/>
          <w:color w:val="0E101A"/>
        </w:rPr>
        <w:t>) kick the habit, be paperless ii) save paper, save trees iii) save energy, save natural possessions iv) pay our bills online v) always use cloth bags, avoid polythene vi) reduce, reuse, recycle vii) digitize yourself.</w:t>
      </w:r>
      <w:r w:rsidR="006F7FDE" w:rsidRPr="00350FE5">
        <w:rPr>
          <w:rFonts w:eastAsia="Times New Roman"/>
          <w:b/>
          <w:bCs/>
          <w:color w:val="0E101A"/>
        </w:rPr>
        <w:t xml:space="preserve"> </w:t>
      </w:r>
      <w:r w:rsidR="006F7FDE" w:rsidRPr="00350FE5">
        <w:rPr>
          <w:rFonts w:eastAsia="Times New Roman"/>
          <w:color w:val="0E101A"/>
        </w:rPr>
        <w:t xml:space="preserve">By successfully implementing the challenges of Digital Bangladesh by 2021, the nation is directed to make another dream, SMART Bangladesh, consisting of four pillars: </w:t>
      </w:r>
      <w:proofErr w:type="spellStart"/>
      <w:r w:rsidR="006F7FDE" w:rsidRPr="00350FE5">
        <w:rPr>
          <w:rFonts w:eastAsia="Times New Roman"/>
          <w:color w:val="0E101A"/>
        </w:rPr>
        <w:t>i</w:t>
      </w:r>
      <w:proofErr w:type="spellEnd"/>
      <w:r w:rsidR="006F7FDE" w:rsidRPr="00350FE5">
        <w:rPr>
          <w:rFonts w:eastAsia="Times New Roman"/>
          <w:color w:val="0E101A"/>
        </w:rPr>
        <w:t>) SMART Citizen, ii) SMART Economy, iii) SMART Government, and iv) SMART Society. In line with Vision 2021, we are now standing in the era of SMART banking, which leads us to green financing and a triple-bottom-line approach (People, Profit, and Planet). The smartphone on the plume of a client using E-Wallet and QR code facilities represents innovative banking tools and techniques invented and provided by banks. The bank's top position depends on the sparkle on the line of electronics wave and present digital advancements and financial p</w:t>
      </w:r>
      <w:r w:rsidR="00012D5D" w:rsidRPr="00350FE5">
        <w:rPr>
          <w:rFonts w:eastAsia="Times New Roman"/>
          <w:color w:val="0E101A"/>
        </w:rPr>
        <w:t xml:space="preserve">erformance. </w:t>
      </w:r>
      <w:r w:rsidR="006F7FDE" w:rsidRPr="00350FE5">
        <w:rPr>
          <w:rFonts w:eastAsia="Times New Roman"/>
          <w:color w:val="0E101A"/>
        </w:rPr>
        <w:t>In 2011, Bangladesh Bank launched formal actions toward greening financial activities and issued several circulars, guidelines, and policies as a controlling authority of the economic sectors. The study observed that, unfortunately, not all banks are aware of green banking and did not disclose the green financing activities as per Bangladesh bank guidelines. Based on the entity concept, all banks are global residents, and they trust every minor green step can build a greener future and make the planet green and habitable for all creatures.</w:t>
      </w:r>
      <w:r w:rsidR="00F04A08" w:rsidRPr="00350FE5">
        <w:rPr>
          <w:color w:val="000000" w:themeColor="text1"/>
        </w:rPr>
        <w:t xml:space="preserve"> </w:t>
      </w:r>
      <w:r w:rsidR="00626477">
        <w:rPr>
          <w:color w:val="000000" w:themeColor="text1"/>
        </w:rPr>
        <w:t xml:space="preserve">Though this study </w:t>
      </w:r>
      <w:proofErr w:type="gramStart"/>
      <w:r w:rsidR="00626477">
        <w:rPr>
          <w:color w:val="000000" w:themeColor="text1"/>
        </w:rPr>
        <w:t>have</w:t>
      </w:r>
      <w:proofErr w:type="gramEnd"/>
      <w:r w:rsidR="00626477">
        <w:rPr>
          <w:color w:val="000000" w:themeColor="text1"/>
        </w:rPr>
        <w:t xml:space="preserve"> some limitation but the findings have several policy implications in banking sectors as well as state level. The policy planners realized </w:t>
      </w:r>
      <w:r w:rsidR="00B947E4">
        <w:rPr>
          <w:color w:val="000000" w:themeColor="text1"/>
        </w:rPr>
        <w:t>that green financing is a concept which is significant for human civilization and protect the only earth. It can play a robust role to include mainstream investment for sustainable development of financial institution in Bangladesh.</w:t>
      </w:r>
    </w:p>
    <w:p w:rsidR="00B947E4" w:rsidRDefault="00B947E4" w:rsidP="009B4300">
      <w:pPr>
        <w:pStyle w:val="Default"/>
        <w:spacing w:line="276" w:lineRule="auto"/>
        <w:contextualSpacing/>
        <w:jc w:val="both"/>
        <w:rPr>
          <w:color w:val="000000" w:themeColor="text1"/>
        </w:rPr>
      </w:pPr>
    </w:p>
    <w:p w:rsidR="00B947E4" w:rsidRPr="00350FE5" w:rsidRDefault="00B947E4" w:rsidP="009B4300">
      <w:pPr>
        <w:pStyle w:val="Default"/>
        <w:spacing w:line="276" w:lineRule="auto"/>
        <w:contextualSpacing/>
        <w:jc w:val="both"/>
        <w:rPr>
          <w:color w:val="000000" w:themeColor="text1"/>
        </w:rPr>
      </w:pPr>
    </w:p>
    <w:p w:rsidR="00F04A08" w:rsidRPr="00350FE5" w:rsidRDefault="00FB2789" w:rsidP="009B4300">
      <w:pPr>
        <w:pStyle w:val="Default"/>
        <w:spacing w:line="276" w:lineRule="auto"/>
        <w:contextualSpacing/>
        <w:jc w:val="both"/>
        <w:rPr>
          <w:color w:val="000000" w:themeColor="text1"/>
        </w:rPr>
      </w:pPr>
      <w:r>
        <w:rPr>
          <w:b/>
          <w:color w:val="000000" w:themeColor="text1"/>
        </w:rPr>
        <w:lastRenderedPageBreak/>
        <w:t xml:space="preserve">7. </w:t>
      </w:r>
      <w:r w:rsidR="00F04A08" w:rsidRPr="00350FE5">
        <w:rPr>
          <w:b/>
          <w:color w:val="000000" w:themeColor="text1"/>
        </w:rPr>
        <w:t>Significance of the Study</w:t>
      </w:r>
    </w:p>
    <w:p w:rsidR="006F7FDE" w:rsidRPr="00350FE5" w:rsidRDefault="00F04A08" w:rsidP="009B4300">
      <w:pPr>
        <w:spacing w:after="0" w:line="276" w:lineRule="auto"/>
        <w:jc w:val="both"/>
        <w:rPr>
          <w:rFonts w:eastAsia="Times New Roman"/>
          <w:color w:val="0E101A"/>
        </w:rPr>
      </w:pPr>
      <w:r w:rsidRPr="00350FE5">
        <w:t xml:space="preserve">The population growth rate in Bangladesh is 1.1% per annum, while the commercial energy demand will increase by 400% by 2038 compared to 2018. Bangladesh is the most fossil fuel-dependent country in Asia far behind other countries in decarburization progress. Bangladesh is suffering from an energy crisis that is negatively affected by climate change. As of 2022, Bangladesh depends on fossil fuels for about 98% of total electricity demand. The energy mix comprises 59% natural gas, 24% fossil fuel, and 15% coal (Ember). The remaining 2% includes solar, biofuel, wind, and water. Instead of increases, Bangladesh decreased its non-fossil fuel electricity production from 3% to 2% between 2015 and 2022. However, the rest of the Asian countries increased it from 24% to 32% during that period. So, Bangladesh is the bottommost in Southeast Asia and at the back of Pakistan (43%) and India (23%). According to The Daily Star report, natural gas will run out in 9 to 11 years. According to the Integrated Energy and Power Master Plan (IEPMP), draft gas consumption will grow 160% to 360% to generate 30% of power by 2050. About 50% of its required financing will go to the natural gas sector. They estimate Bangladesh may import 49 million tons of LNG by 2050. According to the IEEFA, coal and oil plants in Bangladesh are just a single exception and run on imported fuels. Intergovernmental Panel on Climate Change guesses that climate alteration may cost 2-9% of its GDP by 2050 (The Daily Financial Express.bd). Bangladesh is in dire need of a power plant that prioritizes de-carbonization and energy independence. We need a framework designed to solve the energy poverty problem. Bangladesh must focus on removing the fossil fuel subsidies, straining the budget, and dis-incentivizing investment in renewables. Studies show that complete fossil fuel removal will increase GDP by up to 2.3%. Utilizing just one-third of the 1500 Km2 fishpond area can confirm 15 GW of floating photovoltaic (FPV). The low-water areas and large ponds can offer up to 45 GW of solar power. Regarding wind power, Bangladesh has a territory of 20000 </w:t>
      </w:r>
      <w:r w:rsidRPr="00350FE5">
        <w:rPr>
          <w:bCs/>
        </w:rPr>
        <w:t>km</w:t>
      </w:r>
      <w:r w:rsidRPr="00350FE5">
        <w:rPr>
          <w:bCs/>
          <w:vertAlign w:val="superscript"/>
        </w:rPr>
        <w:t>2</w:t>
      </w:r>
      <w:r w:rsidRPr="00350FE5">
        <w:t xml:space="preserve"> with wind speediness of up to 7.75 m/s, apposite for 30 GW of capacity. Research found that utilizing just 4% of the country’s territory would ensure enough capacity for a 100% renewable energy-powered system. Starting with small steps would guarantee immediate results. They identified that just 2 GW of installations would be sufficient for Bangladesh to save $ 1.1 billion per year from fossil import costs. Experts note that Bangladesh could exploit its vast geothermal resources by utilizing gas drilling infrastructure. The IEEFA estimates the Leveled Cost of Electricity (LCOF) from rooftop and utility-scale solar at around $0.05/</w:t>
      </w:r>
      <w:proofErr w:type="spellStart"/>
      <w:r w:rsidRPr="00350FE5">
        <w:t>KWh</w:t>
      </w:r>
      <w:proofErr w:type="spellEnd"/>
      <w:r w:rsidRPr="00350FE5">
        <w:t xml:space="preserve"> and $0.072/</w:t>
      </w:r>
      <w:proofErr w:type="spellStart"/>
      <w:r w:rsidRPr="00350FE5">
        <w:t>KWh</w:t>
      </w:r>
      <w:proofErr w:type="spellEnd"/>
      <w:r w:rsidRPr="00350FE5">
        <w:t>, respectively, compared to $0.084/</w:t>
      </w:r>
      <w:proofErr w:type="spellStart"/>
      <w:r w:rsidRPr="00350FE5">
        <w:t>KWh</w:t>
      </w:r>
      <w:proofErr w:type="spellEnd"/>
      <w:r w:rsidRPr="00350FE5">
        <w:t xml:space="preserve"> during the fiscal year 2021-22. According to Ember, if Bangladesh had prioritized solar power between 2022 and 2024, it could have reduced LNG imports by 25% and saved $2.7 billion. Solar power could have reduced Bangladesh’s spot LNG purchased by 25% and saved $2.7 billion by 2024. The IEEFA estimates that the country would need between $1.53 and $1.71 billion annually in financing between 2024 and 2041 to achieve its 40% clean energy target. This figure is lower than the power sector’s FY 2021-22 subsidy burden of $2.82 billion. Humans cannot change the natural system, such as the sun’s radiation or the Earth’s orbit around the sun. Nevertheless, they can switch GHG effects on the atmosphere, reduce environmental pollution, etc. Over the last century, CO</w:t>
      </w:r>
      <w:r w:rsidRPr="00350FE5">
        <w:rPr>
          <w:vertAlign w:val="subscript"/>
        </w:rPr>
        <w:t>2</w:t>
      </w:r>
      <w:r w:rsidRPr="00350FE5">
        <w:t xml:space="preserve"> absorption </w:t>
      </w:r>
      <w:r w:rsidRPr="00350FE5">
        <w:lastRenderedPageBreak/>
        <w:t>has increased alarmingly in the troposphere. Among many other causes, burning fossil fuel is the main one. Industrial activities have increased so fast since the beginning of the 20th century, giving rise to many factories. Factories need power that is shaped by the burning of fossil fuels and increases the temperature of the Earth. Studies found that nearly 85 million drums of unpolished oil are burned every day in Bangladesh. Fossil fuel is scorched as raw material and constantly releases CO</w:t>
      </w:r>
      <w:r w:rsidRPr="00350FE5">
        <w:rPr>
          <w:vertAlign w:val="subscript"/>
        </w:rPr>
        <w:t>2</w:t>
      </w:r>
      <w:r w:rsidRPr="00350FE5">
        <w:t xml:space="preserve"> into the air. Therefore, we generate substantial greenhouse gases all over the world.</w:t>
      </w:r>
    </w:p>
    <w:p w:rsidR="006F7FDE" w:rsidRPr="00772DEA" w:rsidRDefault="006F7FDE" w:rsidP="009B4300">
      <w:pPr>
        <w:pStyle w:val="Default"/>
        <w:spacing w:line="276" w:lineRule="auto"/>
        <w:contextualSpacing/>
        <w:jc w:val="both"/>
        <w:rPr>
          <w:b/>
          <w:color w:val="000000" w:themeColor="text1"/>
        </w:rPr>
      </w:pPr>
    </w:p>
    <w:p w:rsidR="00FB2789" w:rsidRDefault="00FB2789" w:rsidP="009B4300">
      <w:pPr>
        <w:spacing w:after="0" w:line="276" w:lineRule="auto"/>
        <w:contextualSpacing/>
        <w:jc w:val="both"/>
        <w:rPr>
          <w:b/>
          <w:sz w:val="20"/>
        </w:rPr>
      </w:pPr>
    </w:p>
    <w:p w:rsidR="00FB2789" w:rsidRDefault="00FB2789" w:rsidP="009B4300">
      <w:pPr>
        <w:spacing w:after="0" w:line="276" w:lineRule="auto"/>
        <w:contextualSpacing/>
        <w:jc w:val="both"/>
        <w:rPr>
          <w:b/>
          <w:sz w:val="20"/>
        </w:rPr>
      </w:pPr>
    </w:p>
    <w:p w:rsidR="006F7FDE" w:rsidRPr="004D673D" w:rsidRDefault="006F7FDE" w:rsidP="009B4300">
      <w:pPr>
        <w:spacing w:after="0" w:line="276" w:lineRule="auto"/>
        <w:contextualSpacing/>
        <w:jc w:val="both"/>
        <w:rPr>
          <w:b/>
          <w:sz w:val="20"/>
        </w:rPr>
      </w:pPr>
      <w:r w:rsidRPr="004D673D">
        <w:rPr>
          <w:b/>
          <w:sz w:val="20"/>
        </w:rPr>
        <w:t>References</w:t>
      </w:r>
    </w:p>
    <w:p w:rsidR="006F7FDE" w:rsidRPr="004D673D" w:rsidRDefault="006F7FDE" w:rsidP="009B4300">
      <w:pPr>
        <w:spacing w:after="0" w:line="276" w:lineRule="auto"/>
        <w:ind w:left="720" w:hanging="720"/>
        <w:jc w:val="both"/>
        <w:rPr>
          <w:sz w:val="20"/>
        </w:rPr>
      </w:pPr>
      <w:proofErr w:type="spellStart"/>
      <w:r w:rsidRPr="004D673D">
        <w:rPr>
          <w:sz w:val="20"/>
        </w:rPr>
        <w:t>Akomea</w:t>
      </w:r>
      <w:proofErr w:type="spellEnd"/>
      <w:r w:rsidRPr="004D673D">
        <w:rPr>
          <w:sz w:val="20"/>
        </w:rPr>
        <w:t xml:space="preserve">-Frimpong, I., </w:t>
      </w:r>
      <w:proofErr w:type="spellStart"/>
      <w:r w:rsidRPr="004D673D">
        <w:rPr>
          <w:sz w:val="20"/>
        </w:rPr>
        <w:t>Adeabah</w:t>
      </w:r>
      <w:proofErr w:type="spellEnd"/>
      <w:r w:rsidRPr="004D673D">
        <w:rPr>
          <w:sz w:val="20"/>
        </w:rPr>
        <w:t xml:space="preserve">, D., Ofosu, D., &amp; </w:t>
      </w:r>
      <w:proofErr w:type="spellStart"/>
      <w:r w:rsidRPr="004D673D">
        <w:rPr>
          <w:sz w:val="20"/>
        </w:rPr>
        <w:t>Tenakwah</w:t>
      </w:r>
      <w:proofErr w:type="spellEnd"/>
      <w:r w:rsidRPr="004D673D">
        <w:rPr>
          <w:sz w:val="20"/>
        </w:rPr>
        <w:t>, E. J. (2022). A review of studies on green finance of banks, research gaps and future directions. Journal of Sustainable Finance &amp; Investment, 12(4), 1241-1264.</w:t>
      </w:r>
    </w:p>
    <w:p w:rsidR="006F7FDE" w:rsidRDefault="006F7FDE" w:rsidP="009B4300">
      <w:pPr>
        <w:spacing w:after="0" w:line="276" w:lineRule="auto"/>
        <w:ind w:left="720" w:hanging="720"/>
        <w:jc w:val="both"/>
        <w:rPr>
          <w:sz w:val="20"/>
        </w:rPr>
      </w:pPr>
      <w:r w:rsidRPr="004D673D">
        <w:rPr>
          <w:sz w:val="20"/>
        </w:rPr>
        <w:t xml:space="preserve">Akhter, I., Yasmin, S., &amp; </w:t>
      </w:r>
      <w:proofErr w:type="spellStart"/>
      <w:r w:rsidRPr="004D673D">
        <w:rPr>
          <w:sz w:val="20"/>
        </w:rPr>
        <w:t>Faria</w:t>
      </w:r>
      <w:proofErr w:type="spellEnd"/>
      <w:r w:rsidRPr="004D673D">
        <w:rPr>
          <w:sz w:val="20"/>
        </w:rPr>
        <w:t>, N. (2021). Green banking practices and its implication on financial performance of the commercial banks in Bangladesh. Journal of Business Administration, 42(1), 1-23.</w:t>
      </w:r>
    </w:p>
    <w:p w:rsidR="006F2391" w:rsidRPr="006F2391" w:rsidRDefault="006F2391" w:rsidP="009B4300">
      <w:pPr>
        <w:pStyle w:val="Heading2"/>
        <w:shd w:val="clear" w:color="auto" w:fill="FFFFFF"/>
        <w:jc w:val="both"/>
        <w:rPr>
          <w:rFonts w:ascii="Times New Roman" w:hAnsi="Times New Roman" w:cs="Times New Roman"/>
          <w:sz w:val="20"/>
          <w:szCs w:val="20"/>
        </w:rPr>
      </w:pPr>
      <w:proofErr w:type="spellStart"/>
      <w:r w:rsidRPr="006F2391">
        <w:rPr>
          <w:rFonts w:ascii="Times New Roman" w:hAnsi="Times New Roman" w:cs="Times New Roman"/>
          <w:color w:val="222222"/>
          <w:sz w:val="20"/>
          <w:szCs w:val="20"/>
          <w:shd w:val="clear" w:color="auto" w:fill="FFFFFF"/>
        </w:rPr>
        <w:t>Akther</w:t>
      </w:r>
      <w:proofErr w:type="spellEnd"/>
      <w:r w:rsidRPr="006F2391">
        <w:rPr>
          <w:rFonts w:ascii="Times New Roman" w:hAnsi="Times New Roman" w:cs="Times New Roman"/>
          <w:color w:val="222222"/>
          <w:sz w:val="20"/>
          <w:szCs w:val="20"/>
          <w:shd w:val="clear" w:color="auto" w:fill="FFFFFF"/>
        </w:rPr>
        <w:t>, S., &amp; Tariq, J. (2021). Customer Retention for Digital Banking: Application of ‘Nudge Theory’. </w:t>
      </w:r>
      <w:r w:rsidRPr="006F2391">
        <w:rPr>
          <w:rFonts w:ascii="Times New Roman" w:hAnsi="Times New Roman" w:cs="Times New Roman"/>
          <w:i/>
          <w:iCs/>
          <w:color w:val="222222"/>
          <w:sz w:val="20"/>
          <w:szCs w:val="20"/>
          <w:shd w:val="clear" w:color="auto" w:fill="FFFFFF"/>
        </w:rPr>
        <w:t>Bangladesh Journal of Integrated Thoughts</w:t>
      </w:r>
      <w:r w:rsidRPr="006F2391">
        <w:rPr>
          <w:rFonts w:ascii="Times New Roman" w:hAnsi="Times New Roman" w:cs="Times New Roman"/>
          <w:color w:val="222222"/>
          <w:sz w:val="20"/>
          <w:szCs w:val="20"/>
          <w:shd w:val="clear" w:color="auto" w:fill="FFFFFF"/>
        </w:rPr>
        <w:t>, </w:t>
      </w:r>
      <w:r w:rsidRPr="006F2391">
        <w:rPr>
          <w:rFonts w:ascii="Times New Roman" w:hAnsi="Times New Roman" w:cs="Times New Roman"/>
          <w:i/>
          <w:iCs/>
          <w:color w:val="222222"/>
          <w:sz w:val="20"/>
          <w:szCs w:val="20"/>
          <w:shd w:val="clear" w:color="auto" w:fill="FFFFFF"/>
        </w:rPr>
        <w:t>17</w:t>
      </w:r>
      <w:r w:rsidRPr="006F2391">
        <w:rPr>
          <w:rFonts w:ascii="Times New Roman" w:hAnsi="Times New Roman" w:cs="Times New Roman"/>
          <w:color w:val="222222"/>
          <w:sz w:val="20"/>
          <w:szCs w:val="20"/>
          <w:shd w:val="clear" w:color="auto" w:fill="FFFFFF"/>
        </w:rPr>
        <w:t>(2).</w:t>
      </w:r>
      <w:r w:rsidRPr="006F2391">
        <w:rPr>
          <w:rFonts w:ascii="Times New Roman" w:hAnsi="Times New Roman" w:cs="Times New Roman"/>
          <w:sz w:val="20"/>
          <w:szCs w:val="20"/>
        </w:rPr>
        <w:t xml:space="preserve"> DOI: </w:t>
      </w:r>
    </w:p>
    <w:p w:rsidR="006F2391" w:rsidRPr="006F2391" w:rsidRDefault="00000000" w:rsidP="009B4300">
      <w:pPr>
        <w:spacing w:after="0" w:line="276" w:lineRule="auto"/>
        <w:ind w:left="720" w:hanging="720"/>
        <w:jc w:val="both"/>
        <w:rPr>
          <w:sz w:val="20"/>
          <w:szCs w:val="20"/>
        </w:rPr>
      </w:pPr>
      <w:hyperlink r:id="rId12" w:history="1">
        <w:r w:rsidR="006F2391" w:rsidRPr="006F2391">
          <w:rPr>
            <w:rStyle w:val="Hyperlink"/>
            <w:color w:val="006798"/>
            <w:sz w:val="20"/>
            <w:szCs w:val="20"/>
          </w:rPr>
          <w:t>https://doi.org/10.52805/bjit.v17i2.243</w:t>
        </w:r>
      </w:hyperlink>
    </w:p>
    <w:p w:rsidR="006F7FDE" w:rsidRPr="004D673D" w:rsidRDefault="006F7FDE" w:rsidP="009B4300">
      <w:pPr>
        <w:spacing w:after="0" w:line="276" w:lineRule="auto"/>
        <w:ind w:left="720" w:hanging="720"/>
        <w:jc w:val="both"/>
        <w:rPr>
          <w:sz w:val="20"/>
        </w:rPr>
      </w:pPr>
      <w:proofErr w:type="spellStart"/>
      <w:r w:rsidRPr="004D673D">
        <w:rPr>
          <w:sz w:val="20"/>
        </w:rPr>
        <w:t>Alam</w:t>
      </w:r>
      <w:proofErr w:type="spellEnd"/>
      <w:r w:rsidRPr="004D673D">
        <w:rPr>
          <w:sz w:val="20"/>
        </w:rPr>
        <w:t xml:space="preserve">, M. A., &amp; Islam, T. (2023). Factors Affecting Performance of SMEs: A Study on </w:t>
      </w:r>
      <w:proofErr w:type="spellStart"/>
      <w:r w:rsidRPr="004D673D">
        <w:rPr>
          <w:sz w:val="20"/>
        </w:rPr>
        <w:t>Satkhira</w:t>
      </w:r>
      <w:proofErr w:type="spellEnd"/>
      <w:r w:rsidRPr="004D673D">
        <w:rPr>
          <w:sz w:val="20"/>
        </w:rPr>
        <w:t xml:space="preserve"> District of Bangladesh. NOLEGEIN Journal of Financial Planning &amp; Management, 6(2), 19-32p.</w:t>
      </w:r>
    </w:p>
    <w:p w:rsidR="006F7FDE" w:rsidRPr="004D673D" w:rsidRDefault="006F7FDE" w:rsidP="009B4300">
      <w:pPr>
        <w:spacing w:after="0" w:line="276" w:lineRule="auto"/>
        <w:ind w:left="720" w:hanging="720"/>
        <w:jc w:val="both"/>
        <w:rPr>
          <w:sz w:val="20"/>
        </w:rPr>
      </w:pPr>
      <w:proofErr w:type="spellStart"/>
      <w:r w:rsidRPr="004D673D">
        <w:rPr>
          <w:sz w:val="20"/>
        </w:rPr>
        <w:t>Alam</w:t>
      </w:r>
      <w:proofErr w:type="spellEnd"/>
      <w:r w:rsidRPr="004D673D">
        <w:rPr>
          <w:sz w:val="20"/>
        </w:rPr>
        <w:t xml:space="preserve">, M.A., &amp; Shaikh, M. A. H. (2023). Impact of Some Selected Determinants on SMEs Performance: A Study on </w:t>
      </w:r>
      <w:proofErr w:type="spellStart"/>
      <w:r w:rsidRPr="004D673D">
        <w:rPr>
          <w:sz w:val="20"/>
        </w:rPr>
        <w:t>Jhenaidah</w:t>
      </w:r>
      <w:proofErr w:type="spellEnd"/>
      <w:r w:rsidRPr="004D673D">
        <w:rPr>
          <w:sz w:val="20"/>
        </w:rPr>
        <w:t xml:space="preserve"> District of Bangladesh. Archives of Business Research,11(9). 92-108.</w:t>
      </w:r>
    </w:p>
    <w:p w:rsidR="006F7FDE" w:rsidRPr="004D673D" w:rsidRDefault="006F7FDE" w:rsidP="009B4300">
      <w:pPr>
        <w:spacing w:after="0" w:line="276" w:lineRule="auto"/>
        <w:ind w:left="720" w:hanging="720"/>
        <w:jc w:val="both"/>
        <w:rPr>
          <w:sz w:val="20"/>
        </w:rPr>
      </w:pPr>
      <w:proofErr w:type="spellStart"/>
      <w:r w:rsidRPr="004D673D">
        <w:rPr>
          <w:sz w:val="20"/>
        </w:rPr>
        <w:t>Alam</w:t>
      </w:r>
      <w:proofErr w:type="spellEnd"/>
      <w:r w:rsidRPr="004D673D">
        <w:rPr>
          <w:sz w:val="20"/>
        </w:rPr>
        <w:t xml:space="preserve">, M. A. et al., (2024). Green Banking Status and Climate Change: Bangladesh Perspective. Research Journal of Finance and Accounting, 2024, vol. 15, No. 5. p (10-32) DOI: 10.7176/RJFA/15-5-02   </w:t>
      </w:r>
    </w:p>
    <w:p w:rsidR="006F7FDE" w:rsidRPr="004D673D" w:rsidRDefault="006F7FDE" w:rsidP="009B4300">
      <w:pPr>
        <w:spacing w:after="0" w:line="276" w:lineRule="auto"/>
        <w:ind w:left="720" w:hanging="720"/>
        <w:jc w:val="both"/>
        <w:rPr>
          <w:sz w:val="20"/>
        </w:rPr>
      </w:pPr>
      <w:proofErr w:type="spellStart"/>
      <w:r w:rsidRPr="004D673D">
        <w:rPr>
          <w:sz w:val="20"/>
        </w:rPr>
        <w:t>Appah</w:t>
      </w:r>
      <w:proofErr w:type="spellEnd"/>
      <w:r w:rsidRPr="004D673D">
        <w:rPr>
          <w:sz w:val="20"/>
        </w:rPr>
        <w:t xml:space="preserve">, E., </w:t>
      </w:r>
      <w:proofErr w:type="spellStart"/>
      <w:r w:rsidRPr="004D673D">
        <w:rPr>
          <w:sz w:val="20"/>
        </w:rPr>
        <w:t>Tebepah</w:t>
      </w:r>
      <w:proofErr w:type="spellEnd"/>
      <w:r w:rsidRPr="004D673D">
        <w:rPr>
          <w:sz w:val="20"/>
        </w:rPr>
        <w:t xml:space="preserve">, S. F., &amp; </w:t>
      </w:r>
      <w:proofErr w:type="spellStart"/>
      <w:r w:rsidRPr="004D673D">
        <w:rPr>
          <w:sz w:val="20"/>
        </w:rPr>
        <w:t>Eburunobi</w:t>
      </w:r>
      <w:proofErr w:type="spellEnd"/>
      <w:r w:rsidRPr="004D673D">
        <w:rPr>
          <w:sz w:val="20"/>
        </w:rPr>
        <w:t>, E. O. (2024). Green Banking Practices and Green Financing of Listed Deposit Money Banks in Nigeria. British Journal of Multidisciplinary and Advanced Studies, 5(1), 41-73.</w:t>
      </w:r>
    </w:p>
    <w:p w:rsidR="006F7FDE" w:rsidRPr="004D673D" w:rsidRDefault="006F7FDE" w:rsidP="009B4300">
      <w:pPr>
        <w:spacing w:after="0" w:line="276" w:lineRule="auto"/>
        <w:ind w:left="720" w:hanging="720"/>
        <w:jc w:val="both"/>
        <w:rPr>
          <w:sz w:val="20"/>
        </w:rPr>
      </w:pPr>
      <w:r w:rsidRPr="004D673D">
        <w:rPr>
          <w:sz w:val="20"/>
        </w:rPr>
        <w:t>Al-Amin, S. (2022). Green management in SMEs of Bangladesh: Present scenario, implementation obstacles and policy options. American Scientific Research Journal for Engineering, Technology, and Sciences (ASRJETS), 85(1), 278-286.</w:t>
      </w:r>
    </w:p>
    <w:p w:rsidR="006F7FDE" w:rsidRPr="004D673D" w:rsidRDefault="006F7FDE" w:rsidP="009B4300">
      <w:pPr>
        <w:spacing w:after="0" w:line="276" w:lineRule="auto"/>
        <w:ind w:left="720" w:hanging="720"/>
        <w:jc w:val="both"/>
        <w:rPr>
          <w:sz w:val="20"/>
        </w:rPr>
      </w:pPr>
      <w:proofErr w:type="spellStart"/>
      <w:r w:rsidRPr="004D673D">
        <w:rPr>
          <w:sz w:val="20"/>
        </w:rPr>
        <w:t>Aubhi</w:t>
      </w:r>
      <w:proofErr w:type="spellEnd"/>
      <w:r w:rsidRPr="004D673D">
        <w:rPr>
          <w:sz w:val="20"/>
        </w:rPr>
        <w:t>, R.U. (2016). The evaluation of green banking practices in Bangladesh. Research Journal of Finance and Accounting, 7(7).</w:t>
      </w:r>
    </w:p>
    <w:p w:rsidR="006F7FDE" w:rsidRPr="004D673D" w:rsidRDefault="006F7FDE" w:rsidP="009B4300">
      <w:pPr>
        <w:spacing w:after="0" w:line="276" w:lineRule="auto"/>
        <w:ind w:left="720" w:hanging="720"/>
        <w:jc w:val="both"/>
        <w:rPr>
          <w:sz w:val="20"/>
        </w:rPr>
      </w:pPr>
      <w:r w:rsidRPr="004D673D">
        <w:rPr>
          <w:sz w:val="20"/>
        </w:rPr>
        <w:t xml:space="preserve">Azad, M. A. K; Islam, M. A., </w:t>
      </w:r>
      <w:proofErr w:type="spellStart"/>
      <w:r w:rsidRPr="004D673D">
        <w:rPr>
          <w:sz w:val="20"/>
        </w:rPr>
        <w:t>Sobhani</w:t>
      </w:r>
      <w:proofErr w:type="spellEnd"/>
      <w:r w:rsidRPr="004D673D">
        <w:rPr>
          <w:sz w:val="20"/>
        </w:rPr>
        <w:t xml:space="preserve">, F. A., Hassan, M. S., &amp; </w:t>
      </w:r>
      <w:proofErr w:type="spellStart"/>
      <w:r w:rsidRPr="004D673D">
        <w:rPr>
          <w:sz w:val="20"/>
        </w:rPr>
        <w:t>Masukujjaman</w:t>
      </w:r>
      <w:proofErr w:type="spellEnd"/>
      <w:r w:rsidRPr="004D673D">
        <w:rPr>
          <w:sz w:val="20"/>
        </w:rPr>
        <w:t xml:space="preserve">, M. (2022). Revisiting the current status of green finance and sustainable finance disbursement: A policy insights. Sustainability, 14(14), 8911. https://doi.org/10.3390/su14148911 </w:t>
      </w:r>
    </w:p>
    <w:p w:rsidR="006F7FDE" w:rsidRPr="004D673D" w:rsidRDefault="006F7FDE" w:rsidP="009B4300">
      <w:pPr>
        <w:spacing w:after="0" w:line="276" w:lineRule="auto"/>
        <w:ind w:left="720" w:hanging="720"/>
        <w:jc w:val="both"/>
        <w:rPr>
          <w:sz w:val="20"/>
        </w:rPr>
      </w:pPr>
      <w:proofErr w:type="spellStart"/>
      <w:r w:rsidRPr="004D673D">
        <w:rPr>
          <w:sz w:val="20"/>
        </w:rPr>
        <w:t>Bariweni</w:t>
      </w:r>
      <w:proofErr w:type="spellEnd"/>
      <w:r w:rsidRPr="004D673D">
        <w:rPr>
          <w:sz w:val="20"/>
        </w:rPr>
        <w:t>, B. (2024). Corporate Social Responsibility and Financial Performance of Quoted Oil and Gas Companies in Nigeria. British Journal of Multidisciplinary and Advanced Studies,5(1), 74-89.</w:t>
      </w:r>
    </w:p>
    <w:p w:rsidR="006F7FDE" w:rsidRPr="004D673D" w:rsidRDefault="006F7FDE" w:rsidP="009B4300">
      <w:pPr>
        <w:spacing w:after="0" w:line="276" w:lineRule="auto"/>
        <w:ind w:left="720" w:hanging="720"/>
        <w:jc w:val="both"/>
        <w:rPr>
          <w:sz w:val="20"/>
        </w:rPr>
      </w:pPr>
      <w:r w:rsidRPr="004D673D">
        <w:rPr>
          <w:sz w:val="20"/>
        </w:rPr>
        <w:t>Bose, S., Khan, H. Z., Rashid, A., &amp; Islam, S. (2018). What drives green banking disclosure? An institutional and corporate governance perspective. Asia Pacific Journal of Management, 35, 501-527.</w:t>
      </w:r>
    </w:p>
    <w:p w:rsidR="006F7FDE" w:rsidRPr="004D673D" w:rsidRDefault="006F7FDE" w:rsidP="009B4300">
      <w:pPr>
        <w:spacing w:after="0" w:line="276" w:lineRule="auto"/>
        <w:ind w:left="720" w:hanging="720"/>
        <w:jc w:val="both"/>
        <w:rPr>
          <w:sz w:val="20"/>
        </w:rPr>
      </w:pPr>
      <w:r w:rsidRPr="004D673D">
        <w:rPr>
          <w:sz w:val="20"/>
        </w:rPr>
        <w:t xml:space="preserve">Choudhury, T. T., Salim, M., Al Bashir, M. M., &amp; </w:t>
      </w:r>
      <w:proofErr w:type="spellStart"/>
      <w:r w:rsidRPr="004D673D">
        <w:rPr>
          <w:sz w:val="20"/>
        </w:rPr>
        <w:t>Saha</w:t>
      </w:r>
      <w:proofErr w:type="spellEnd"/>
      <w:r w:rsidRPr="004D673D">
        <w:rPr>
          <w:sz w:val="20"/>
        </w:rPr>
        <w:t>, P. (2013). Influence of stakeholders in developing green banking products in Bangladesh. Research Journal of Finance and Accounting, 67-77.</w:t>
      </w:r>
    </w:p>
    <w:p w:rsidR="006F7FDE" w:rsidRPr="004D673D" w:rsidRDefault="006F7FDE" w:rsidP="009B4300">
      <w:pPr>
        <w:spacing w:after="0" w:line="276" w:lineRule="auto"/>
        <w:ind w:left="720" w:hanging="720"/>
        <w:jc w:val="both"/>
        <w:rPr>
          <w:sz w:val="20"/>
        </w:rPr>
      </w:pPr>
      <w:r w:rsidRPr="004D673D">
        <w:rPr>
          <w:sz w:val="20"/>
        </w:rPr>
        <w:t>Chowdhury, T. A., Kabir, T., &amp; Chowdhury, T. A. (2022). Performance Evaluation of Selected Islamic Banks in Bangladesh. Asian Economic and Financial Review, 12(6), 397-419.</w:t>
      </w:r>
    </w:p>
    <w:p w:rsidR="006F7FDE" w:rsidRPr="004D673D" w:rsidRDefault="006F7FDE" w:rsidP="009B4300">
      <w:pPr>
        <w:spacing w:after="0" w:line="276" w:lineRule="auto"/>
        <w:ind w:left="720" w:hanging="720"/>
        <w:jc w:val="both"/>
        <w:rPr>
          <w:sz w:val="20"/>
        </w:rPr>
      </w:pPr>
      <w:r w:rsidRPr="004D673D">
        <w:rPr>
          <w:sz w:val="20"/>
        </w:rPr>
        <w:t xml:space="preserve">Deb, B. C., </w:t>
      </w:r>
      <w:proofErr w:type="spellStart"/>
      <w:r w:rsidRPr="004D673D">
        <w:rPr>
          <w:sz w:val="20"/>
        </w:rPr>
        <w:t>Saha</w:t>
      </w:r>
      <w:proofErr w:type="spellEnd"/>
      <w:r w:rsidRPr="004D673D">
        <w:rPr>
          <w:sz w:val="20"/>
        </w:rPr>
        <w:t>, S., Rahman, M. M., &amp; Green, D. “DOES GREEM ACCOUNTING PRACTICE AFFECT BANK PERFORMANCE? A STUDY ON LISTED BANKS OF DHAKA STOKE EXCHANGE IN BANGLADESH.</w:t>
      </w:r>
    </w:p>
    <w:p w:rsidR="006F7FDE" w:rsidRPr="004D673D" w:rsidRDefault="006F7FDE" w:rsidP="009B4300">
      <w:pPr>
        <w:spacing w:after="0" w:line="276" w:lineRule="auto"/>
        <w:ind w:left="720" w:hanging="720"/>
        <w:jc w:val="both"/>
        <w:rPr>
          <w:sz w:val="20"/>
        </w:rPr>
      </w:pPr>
      <w:proofErr w:type="spellStart"/>
      <w:r w:rsidRPr="004D673D">
        <w:rPr>
          <w:sz w:val="20"/>
        </w:rPr>
        <w:lastRenderedPageBreak/>
        <w:t>Ellahi</w:t>
      </w:r>
      <w:proofErr w:type="spellEnd"/>
      <w:r w:rsidRPr="004D673D">
        <w:rPr>
          <w:sz w:val="20"/>
        </w:rPr>
        <w:t xml:space="preserve">, A., Jilani, H., &amp; Zahid, H. (2023). Customer awareness on </w:t>
      </w:r>
      <w:proofErr w:type="gramStart"/>
      <w:r w:rsidRPr="004D673D">
        <w:rPr>
          <w:sz w:val="20"/>
        </w:rPr>
        <w:t>Green</w:t>
      </w:r>
      <w:proofErr w:type="gramEnd"/>
      <w:r w:rsidRPr="004D673D">
        <w:rPr>
          <w:sz w:val="20"/>
        </w:rPr>
        <w:t xml:space="preserve"> banking practices. Journal of Sustainable Finance &amp; Investment, 13(3), 1377-1393.</w:t>
      </w:r>
    </w:p>
    <w:p w:rsidR="006F7FDE" w:rsidRPr="004D673D" w:rsidRDefault="006F7FDE" w:rsidP="009B4300">
      <w:pPr>
        <w:spacing w:after="0" w:line="276" w:lineRule="auto"/>
        <w:ind w:left="720" w:hanging="720"/>
        <w:jc w:val="both"/>
        <w:rPr>
          <w:color w:val="5B9BD5" w:themeColor="accent5"/>
          <w:sz w:val="20"/>
        </w:rPr>
      </w:pPr>
      <w:proofErr w:type="spellStart"/>
      <w:r w:rsidRPr="004D673D">
        <w:rPr>
          <w:sz w:val="20"/>
        </w:rPr>
        <w:t>Faruque</w:t>
      </w:r>
      <w:proofErr w:type="spellEnd"/>
      <w:r w:rsidRPr="004D673D">
        <w:rPr>
          <w:sz w:val="20"/>
        </w:rPr>
        <w:t xml:space="preserve">, M. O., </w:t>
      </w:r>
      <w:proofErr w:type="spellStart"/>
      <w:r w:rsidRPr="004D673D">
        <w:rPr>
          <w:sz w:val="20"/>
        </w:rPr>
        <w:t>Biplob</w:t>
      </w:r>
      <w:proofErr w:type="spellEnd"/>
      <w:r w:rsidRPr="004D673D">
        <w:rPr>
          <w:sz w:val="20"/>
        </w:rPr>
        <w:t xml:space="preserve">, M. N. K., Al-Amin, M., &amp; </w:t>
      </w:r>
      <w:proofErr w:type="spellStart"/>
      <w:r w:rsidRPr="004D673D">
        <w:rPr>
          <w:sz w:val="20"/>
        </w:rPr>
        <w:t>Patwary</w:t>
      </w:r>
      <w:proofErr w:type="spellEnd"/>
      <w:r w:rsidRPr="004D673D">
        <w:rPr>
          <w:sz w:val="20"/>
        </w:rPr>
        <w:t xml:space="preserve">, M. S. </w:t>
      </w:r>
      <w:proofErr w:type="gramStart"/>
      <w:r w:rsidRPr="004D673D">
        <w:rPr>
          <w:sz w:val="20"/>
        </w:rPr>
        <w:t>H.(</w:t>
      </w:r>
      <w:proofErr w:type="gramEnd"/>
      <w:r w:rsidRPr="004D673D">
        <w:rPr>
          <w:sz w:val="20"/>
        </w:rPr>
        <w:t>2016). Green banking and its potentiality &amp; practice in Bangladesh. Science Journal of Business and Management,4(2), 28-33.</w:t>
      </w:r>
    </w:p>
    <w:p w:rsidR="006F7FDE" w:rsidRPr="004D673D" w:rsidRDefault="006F7FDE" w:rsidP="009B4300">
      <w:pPr>
        <w:spacing w:after="0" w:line="276" w:lineRule="auto"/>
        <w:ind w:left="720" w:hanging="720"/>
        <w:jc w:val="both"/>
        <w:rPr>
          <w:sz w:val="20"/>
        </w:rPr>
      </w:pPr>
      <w:r w:rsidRPr="004D673D">
        <w:rPr>
          <w:sz w:val="20"/>
        </w:rPr>
        <w:t xml:space="preserve">Fatima, T., Karim, M. Z. </w:t>
      </w:r>
      <w:proofErr w:type="spellStart"/>
      <w:r w:rsidRPr="004D673D">
        <w:rPr>
          <w:sz w:val="20"/>
        </w:rPr>
        <w:t>abd</w:t>
      </w:r>
      <w:proofErr w:type="spellEnd"/>
      <w:r w:rsidRPr="004D673D">
        <w:rPr>
          <w:sz w:val="20"/>
        </w:rPr>
        <w:t xml:space="preserve">, &amp; </w:t>
      </w:r>
      <w:proofErr w:type="spellStart"/>
      <w:r w:rsidRPr="004D673D">
        <w:rPr>
          <w:sz w:val="20"/>
        </w:rPr>
        <w:t>Meo</w:t>
      </w:r>
      <w:proofErr w:type="spellEnd"/>
      <w:r w:rsidRPr="004D673D">
        <w:rPr>
          <w:sz w:val="20"/>
        </w:rPr>
        <w:t>, M. S. (2020). Sectoral CO</w:t>
      </w:r>
      <w:r w:rsidRPr="004D673D">
        <w:rPr>
          <w:sz w:val="20"/>
          <w:vertAlign w:val="subscript"/>
        </w:rPr>
        <w:t>2</w:t>
      </w:r>
      <w:r w:rsidRPr="004D673D">
        <w:rPr>
          <w:sz w:val="20"/>
        </w:rPr>
        <w:t> emissions in China: asymmetric and time-varying analysis. </w:t>
      </w:r>
      <w:r w:rsidRPr="004D673D">
        <w:rPr>
          <w:i/>
          <w:iCs/>
          <w:sz w:val="20"/>
        </w:rPr>
        <w:t>Journal of Environmental Planning and Management</w:t>
      </w:r>
      <w:r w:rsidRPr="004D673D">
        <w:rPr>
          <w:sz w:val="20"/>
        </w:rPr>
        <w:t>, </w:t>
      </w:r>
      <w:r w:rsidRPr="004D673D">
        <w:rPr>
          <w:i/>
          <w:iCs/>
          <w:sz w:val="20"/>
        </w:rPr>
        <w:t>64</w:t>
      </w:r>
      <w:r w:rsidRPr="004D673D">
        <w:rPr>
          <w:sz w:val="20"/>
        </w:rPr>
        <w:t>(4), 581–610. https://doi.org/10.1080/09640568.2020.1776691</w:t>
      </w:r>
    </w:p>
    <w:p w:rsidR="006F7FDE" w:rsidRPr="004D673D" w:rsidRDefault="006F7FDE" w:rsidP="009B4300">
      <w:pPr>
        <w:spacing w:after="0" w:line="276" w:lineRule="auto"/>
        <w:ind w:left="720" w:hanging="720"/>
        <w:jc w:val="both"/>
        <w:rPr>
          <w:sz w:val="20"/>
        </w:rPr>
      </w:pPr>
      <w:r w:rsidRPr="004D673D">
        <w:rPr>
          <w:sz w:val="20"/>
        </w:rPr>
        <w:t xml:space="preserve">Felix, T. S. (2022). CORPORATE GOVERNANCE MECHANISMS AND FINANCIAL PERFORMANCE OF LISTED COMPANIES IN NIGERIA. </w:t>
      </w:r>
    </w:p>
    <w:p w:rsidR="006F7FDE" w:rsidRPr="004D673D" w:rsidRDefault="006F7FDE" w:rsidP="009B4300">
      <w:pPr>
        <w:spacing w:after="0" w:line="276" w:lineRule="auto"/>
        <w:ind w:left="720" w:hanging="720"/>
        <w:jc w:val="both"/>
        <w:rPr>
          <w:sz w:val="20"/>
        </w:rPr>
      </w:pPr>
      <w:proofErr w:type="spellStart"/>
      <w:r w:rsidRPr="004D673D">
        <w:rPr>
          <w:sz w:val="20"/>
        </w:rPr>
        <w:t>Gunawan</w:t>
      </w:r>
      <w:proofErr w:type="spellEnd"/>
      <w:r w:rsidRPr="004D673D">
        <w:rPr>
          <w:sz w:val="20"/>
        </w:rPr>
        <w:t xml:space="preserve">, J., </w:t>
      </w:r>
      <w:proofErr w:type="spellStart"/>
      <w:r w:rsidRPr="004D673D">
        <w:rPr>
          <w:sz w:val="20"/>
        </w:rPr>
        <w:t>Permatasari</w:t>
      </w:r>
      <w:proofErr w:type="spellEnd"/>
      <w:r w:rsidRPr="004D673D">
        <w:rPr>
          <w:sz w:val="20"/>
        </w:rPr>
        <w:t>, P., &amp; Sharma, U. (2022). Exploring sustainability and green banking disclosures: a study of banking sector. Environment, Development and Sustainability,24(9), 11153-11194.</w:t>
      </w:r>
    </w:p>
    <w:p w:rsidR="006F7FDE" w:rsidRPr="004D673D" w:rsidRDefault="006F7FDE" w:rsidP="009B4300">
      <w:pPr>
        <w:spacing w:after="0" w:line="276" w:lineRule="auto"/>
        <w:ind w:left="720" w:hanging="720"/>
        <w:jc w:val="both"/>
        <w:rPr>
          <w:sz w:val="20"/>
        </w:rPr>
      </w:pPr>
      <w:r w:rsidRPr="004D673D">
        <w:rPr>
          <w:sz w:val="20"/>
        </w:rPr>
        <w:t>Hassan, M. K., &amp; Rahman, M. A. (2023). Green Banking: Present Status and Prospect-A Study on Bangladesh. Development, 13(02).</w:t>
      </w:r>
    </w:p>
    <w:p w:rsidR="006F7FDE" w:rsidRPr="004D673D" w:rsidRDefault="006F7FDE" w:rsidP="009B4300">
      <w:pPr>
        <w:spacing w:after="0" w:line="276" w:lineRule="auto"/>
        <w:ind w:left="720" w:hanging="720"/>
        <w:jc w:val="both"/>
        <w:rPr>
          <w:sz w:val="20"/>
        </w:rPr>
      </w:pPr>
      <w:r w:rsidRPr="004D673D">
        <w:rPr>
          <w:sz w:val="20"/>
        </w:rPr>
        <w:t>Hasan, M. M., Al Amin, M., Moon, Z. K., &amp; Afrin, F. (2022). Role of environmental sustainability, psychological and managerial supports for determining bankers’ green banking usage behavior: an integrated framework. Psychological research and behavior management</w:t>
      </w:r>
      <w:r w:rsidR="00C71871" w:rsidRPr="004D673D">
        <w:rPr>
          <w:sz w:val="20"/>
        </w:rPr>
        <w:t>, 3751</w:t>
      </w:r>
      <w:r w:rsidRPr="004D673D">
        <w:rPr>
          <w:sz w:val="20"/>
        </w:rPr>
        <w:t>-3733.</w:t>
      </w:r>
    </w:p>
    <w:p w:rsidR="006F7FDE" w:rsidRPr="004D673D" w:rsidRDefault="006F7FDE" w:rsidP="009B4300">
      <w:pPr>
        <w:spacing w:after="0" w:line="276" w:lineRule="auto"/>
        <w:ind w:left="720" w:hanging="720"/>
        <w:jc w:val="both"/>
        <w:rPr>
          <w:sz w:val="20"/>
        </w:rPr>
      </w:pPr>
      <w:r w:rsidRPr="004D673D">
        <w:rPr>
          <w:sz w:val="20"/>
        </w:rPr>
        <w:t>Hossain, M. (2018). Green finance in Bangladesh: policies, institutions, and challenges (No. 892). ADBI Working Paper, 1-24.</w:t>
      </w:r>
    </w:p>
    <w:p w:rsidR="006F7FDE" w:rsidRPr="004D673D" w:rsidRDefault="006F7FDE" w:rsidP="009B4300">
      <w:pPr>
        <w:spacing w:after="0" w:line="276" w:lineRule="auto"/>
        <w:ind w:left="720" w:hanging="720"/>
        <w:jc w:val="both"/>
        <w:rPr>
          <w:sz w:val="20"/>
        </w:rPr>
      </w:pPr>
      <w:r w:rsidRPr="004D673D">
        <w:rPr>
          <w:sz w:val="20"/>
        </w:rPr>
        <w:t xml:space="preserve">Hossain, D. M., Bir, A. T. S. A., Sadiq, A. T., </w:t>
      </w:r>
      <w:proofErr w:type="spellStart"/>
      <w:r w:rsidRPr="004D673D">
        <w:rPr>
          <w:sz w:val="20"/>
        </w:rPr>
        <w:t>Tarique</w:t>
      </w:r>
      <w:proofErr w:type="spellEnd"/>
      <w:r w:rsidRPr="004D673D">
        <w:rPr>
          <w:sz w:val="20"/>
        </w:rPr>
        <w:t xml:space="preserve">, K. M., &amp; </w:t>
      </w:r>
      <w:proofErr w:type="spellStart"/>
      <w:r w:rsidRPr="004D673D">
        <w:rPr>
          <w:sz w:val="20"/>
        </w:rPr>
        <w:t>Momen</w:t>
      </w:r>
      <w:proofErr w:type="spellEnd"/>
      <w:r w:rsidRPr="004D673D">
        <w:rPr>
          <w:sz w:val="20"/>
        </w:rPr>
        <w:t xml:space="preserve">, A. (2016). Disclosure of green banking issues in </w:t>
      </w:r>
      <w:proofErr w:type="spellStart"/>
      <w:r w:rsidRPr="004D673D">
        <w:rPr>
          <w:sz w:val="20"/>
        </w:rPr>
        <w:t>theannual</w:t>
      </w:r>
      <w:proofErr w:type="spellEnd"/>
      <w:r w:rsidRPr="004D673D">
        <w:rPr>
          <w:sz w:val="20"/>
        </w:rPr>
        <w:t xml:space="preserve"> reports: a study on Bangladeshi Banks. Middle East Journal of Business, 11(1),</w:t>
      </w:r>
      <w:r w:rsidR="00C71871">
        <w:rPr>
          <w:sz w:val="20"/>
        </w:rPr>
        <w:t xml:space="preserve"> </w:t>
      </w:r>
      <w:r w:rsidRPr="004D673D">
        <w:rPr>
          <w:sz w:val="20"/>
        </w:rPr>
        <w:t>19-30.</w:t>
      </w:r>
    </w:p>
    <w:p w:rsidR="006F7FDE" w:rsidRPr="004D673D" w:rsidRDefault="006F7FDE" w:rsidP="009B4300">
      <w:pPr>
        <w:spacing w:after="0" w:line="276" w:lineRule="auto"/>
        <w:ind w:left="720" w:hanging="720"/>
        <w:jc w:val="both"/>
        <w:rPr>
          <w:sz w:val="20"/>
        </w:rPr>
      </w:pPr>
      <w:r w:rsidRPr="004D673D">
        <w:rPr>
          <w:sz w:val="20"/>
        </w:rPr>
        <w:t xml:space="preserve">Hassan, U. O., </w:t>
      </w:r>
      <w:proofErr w:type="spellStart"/>
      <w:r w:rsidRPr="004D673D">
        <w:rPr>
          <w:sz w:val="20"/>
        </w:rPr>
        <w:t>Mberia</w:t>
      </w:r>
      <w:proofErr w:type="spellEnd"/>
      <w:r w:rsidRPr="004D673D">
        <w:rPr>
          <w:sz w:val="20"/>
        </w:rPr>
        <w:t xml:space="preserve">, H. K., &amp; Muturi, W. (2017). Effect of working capital management on </w:t>
      </w:r>
      <w:proofErr w:type="spellStart"/>
      <w:r w:rsidRPr="004D673D">
        <w:rPr>
          <w:sz w:val="20"/>
        </w:rPr>
        <w:t>firm’financial</w:t>
      </w:r>
      <w:proofErr w:type="spellEnd"/>
      <w:r w:rsidRPr="004D673D">
        <w:rPr>
          <w:sz w:val="20"/>
        </w:rPr>
        <w:t xml:space="preserve"> performance: A survey of water processing firms in Puntland. International Journal of Economics, Commerce and Management, 31(2), 106-119.</w:t>
      </w:r>
    </w:p>
    <w:p w:rsidR="006F7FDE" w:rsidRPr="004D673D" w:rsidRDefault="006F7FDE" w:rsidP="009B4300">
      <w:pPr>
        <w:spacing w:after="0" w:line="276" w:lineRule="auto"/>
        <w:ind w:left="720" w:hanging="720"/>
        <w:jc w:val="both"/>
        <w:rPr>
          <w:sz w:val="20"/>
        </w:rPr>
      </w:pPr>
      <w:r w:rsidRPr="004D673D">
        <w:rPr>
          <w:sz w:val="20"/>
        </w:rPr>
        <w:t xml:space="preserve">Herath, H. M. K., &amp; Herath, H. M. S. P. (2019). Impact of Green banking initiatives on customer satisfaction: A conceptual model of customer satisfaction on green banking. Journal of business and Management, 1(21), 24-35. </w:t>
      </w:r>
    </w:p>
    <w:p w:rsidR="006F7FDE" w:rsidRPr="004D673D" w:rsidRDefault="006F7FDE" w:rsidP="009B4300">
      <w:pPr>
        <w:spacing w:after="0" w:line="276" w:lineRule="auto"/>
        <w:ind w:left="720" w:hanging="720"/>
        <w:jc w:val="both"/>
        <w:rPr>
          <w:sz w:val="20"/>
        </w:rPr>
      </w:pPr>
      <w:r w:rsidRPr="004D673D">
        <w:rPr>
          <w:sz w:val="20"/>
        </w:rPr>
        <w:t>Hoque, M. K., Masum, M. H., &amp; Babu, M. A. (2022). Impact of financial performance on green banking disclosure: Evidence from the listed banking companies in Bangladesh. Universal Journal of Accounting and Finance, 10(2), 450-456.</w:t>
      </w:r>
    </w:p>
    <w:p w:rsidR="006F7FDE" w:rsidRDefault="006F7FDE" w:rsidP="009B4300">
      <w:pPr>
        <w:spacing w:after="0" w:line="276" w:lineRule="auto"/>
        <w:ind w:left="720" w:hanging="720"/>
        <w:jc w:val="both"/>
        <w:rPr>
          <w:sz w:val="20"/>
        </w:rPr>
      </w:pPr>
      <w:r w:rsidRPr="004D673D">
        <w:rPr>
          <w:sz w:val="20"/>
        </w:rPr>
        <w:t>Hossain, M. A., Rahman, M. M., Hossain, M. S., &amp; Karim, M. R. (2020). The effect of green banking practices on financial performance of listed banking companies in Bangladesh. Canadian Journal of Business and Information Studies, 2(6), 120-128.</w:t>
      </w:r>
    </w:p>
    <w:p w:rsidR="00630A22" w:rsidRPr="00CD6616" w:rsidRDefault="00630A22" w:rsidP="009B4300">
      <w:pPr>
        <w:pStyle w:val="Bibliography"/>
        <w:spacing w:after="0" w:line="276" w:lineRule="auto"/>
        <w:ind w:left="720" w:hanging="720"/>
        <w:jc w:val="both"/>
        <w:rPr>
          <w:sz w:val="20"/>
        </w:rPr>
      </w:pPr>
      <w:r w:rsidRPr="00CD6616">
        <w:rPr>
          <w:sz w:val="20"/>
        </w:rPr>
        <w:t xml:space="preserve">Hossain, S. Z., &amp; Rana, Md. S. (2024). Effects of Ownership Structure on Intellectual Capital: Evidence from Publicly Listed Banks in Bangladesh. </w:t>
      </w:r>
      <w:r w:rsidRPr="00CD6616">
        <w:rPr>
          <w:i/>
          <w:iCs/>
          <w:sz w:val="20"/>
        </w:rPr>
        <w:t>Journal of Risk and Financial Management</w:t>
      </w:r>
      <w:r w:rsidRPr="00CD6616">
        <w:rPr>
          <w:sz w:val="20"/>
        </w:rPr>
        <w:t xml:space="preserve">, </w:t>
      </w:r>
      <w:r w:rsidRPr="00CD6616">
        <w:rPr>
          <w:i/>
          <w:iCs/>
          <w:sz w:val="20"/>
        </w:rPr>
        <w:t>17</w:t>
      </w:r>
      <w:r w:rsidRPr="00CD6616">
        <w:rPr>
          <w:sz w:val="20"/>
        </w:rPr>
        <w:t>(6), 222. https://doi.org/10.3390/jrfm17060222</w:t>
      </w:r>
    </w:p>
    <w:p w:rsidR="006F7FDE" w:rsidRPr="004D673D" w:rsidRDefault="006F7FDE" w:rsidP="009B4300">
      <w:pPr>
        <w:spacing w:after="0" w:line="276" w:lineRule="auto"/>
        <w:ind w:left="720" w:hanging="720"/>
        <w:jc w:val="both"/>
        <w:rPr>
          <w:sz w:val="20"/>
        </w:rPr>
      </w:pPr>
      <w:r w:rsidRPr="004D673D">
        <w:rPr>
          <w:sz w:val="20"/>
        </w:rPr>
        <w:t>Huq, S. (2008). Climate change impacts and responses in Bangladesh.</w:t>
      </w:r>
    </w:p>
    <w:p w:rsidR="006F7FDE" w:rsidRPr="004D673D" w:rsidRDefault="006F7FDE" w:rsidP="009B4300">
      <w:pPr>
        <w:spacing w:after="0" w:line="276" w:lineRule="auto"/>
        <w:ind w:left="720" w:hanging="720"/>
        <w:jc w:val="both"/>
        <w:rPr>
          <w:sz w:val="20"/>
        </w:rPr>
      </w:pPr>
      <w:r w:rsidRPr="004D673D">
        <w:rPr>
          <w:sz w:val="20"/>
        </w:rPr>
        <w:t>Ikram, U., &amp; Akhtar, S. (2021). Green Banking, Corporate Governance and Performance of Selected SAARC Countries. Review of Economics and Development Studies, 7(4), 543-559.</w:t>
      </w:r>
    </w:p>
    <w:p w:rsidR="00A561B0" w:rsidRPr="004D673D" w:rsidRDefault="006F7FDE" w:rsidP="009B4300">
      <w:pPr>
        <w:spacing w:after="0" w:line="276" w:lineRule="auto"/>
        <w:ind w:left="720" w:hanging="720"/>
        <w:jc w:val="both"/>
        <w:rPr>
          <w:sz w:val="20"/>
        </w:rPr>
      </w:pPr>
      <w:r w:rsidRPr="004D673D">
        <w:rPr>
          <w:sz w:val="20"/>
        </w:rPr>
        <w:t>Islam, A. (2018). Green banking and its challenges and practice in Bangladesh. International Journal of Science and Research Methodology, Human Journal, 10(2), 18-27.</w:t>
      </w:r>
    </w:p>
    <w:p w:rsidR="006F7FDE" w:rsidRPr="004D673D" w:rsidRDefault="006F7FDE" w:rsidP="009B4300">
      <w:pPr>
        <w:spacing w:after="0" w:line="276" w:lineRule="auto"/>
        <w:ind w:left="720" w:hanging="720"/>
        <w:jc w:val="both"/>
        <w:rPr>
          <w:sz w:val="20"/>
        </w:rPr>
      </w:pPr>
      <w:r w:rsidRPr="004D673D">
        <w:rPr>
          <w:sz w:val="20"/>
        </w:rPr>
        <w:t>Islam, M. A., Yousuf, S., Hossain, K. F., &amp; Islam, M. R. (2014). Green financing in Bangladesh: challenges and opportunities-a descriptive approach. International Journal of green economics, 8(1), 74-91.</w:t>
      </w:r>
    </w:p>
    <w:p w:rsidR="006F7FDE" w:rsidRPr="004D673D" w:rsidRDefault="006F7FDE" w:rsidP="009B4300">
      <w:pPr>
        <w:spacing w:after="0" w:line="276" w:lineRule="auto"/>
        <w:ind w:left="720" w:hanging="720"/>
        <w:jc w:val="both"/>
        <w:rPr>
          <w:sz w:val="20"/>
        </w:rPr>
      </w:pPr>
      <w:r w:rsidRPr="004D673D">
        <w:rPr>
          <w:sz w:val="20"/>
        </w:rPr>
        <w:t xml:space="preserve">Islam, S. F., &amp; Hossain, S. Z. (2022). Eco-affecting Reporting Practices of Publicly Traded Engineering Companies in Bangladesh. Journal of Environmental Accounting and Management, 10(2), 157-175. </w:t>
      </w:r>
    </w:p>
    <w:p w:rsidR="006F7FDE" w:rsidRDefault="006F7FDE" w:rsidP="009B4300">
      <w:pPr>
        <w:spacing w:after="0" w:line="276" w:lineRule="auto"/>
        <w:ind w:left="720" w:hanging="720"/>
        <w:jc w:val="both"/>
        <w:rPr>
          <w:sz w:val="20"/>
        </w:rPr>
      </w:pPr>
      <w:r w:rsidRPr="004D673D">
        <w:rPr>
          <w:sz w:val="20"/>
        </w:rPr>
        <w:t>Islam, M.S., &amp; Rana, M. (2022). The Influence of Credit Risk Management Indicators on Profitability Attributes: Empirical evidence from state-owned Commercial Banks in Bangladesh. Journal of Business Studies, 3(1), 43-60.</w:t>
      </w:r>
    </w:p>
    <w:p w:rsidR="00D06137" w:rsidRPr="00D06137" w:rsidRDefault="00D06137" w:rsidP="009B4300">
      <w:pPr>
        <w:spacing w:after="0" w:line="276" w:lineRule="auto"/>
        <w:ind w:left="720" w:hanging="720"/>
        <w:jc w:val="both"/>
        <w:rPr>
          <w:color w:val="222222"/>
          <w:sz w:val="20"/>
          <w:szCs w:val="20"/>
          <w:shd w:val="clear" w:color="auto" w:fill="FFFFFF"/>
        </w:rPr>
      </w:pPr>
      <w:r w:rsidRPr="00D06137">
        <w:rPr>
          <w:color w:val="222222"/>
          <w:sz w:val="20"/>
          <w:szCs w:val="20"/>
          <w:shd w:val="clear" w:color="auto" w:fill="FFFFFF"/>
        </w:rPr>
        <w:lastRenderedPageBreak/>
        <w:t xml:space="preserve">Islam, M. S., </w:t>
      </w:r>
      <w:proofErr w:type="spellStart"/>
      <w:r w:rsidRPr="00D06137">
        <w:rPr>
          <w:color w:val="222222"/>
          <w:sz w:val="20"/>
          <w:szCs w:val="20"/>
          <w:shd w:val="clear" w:color="auto" w:fill="FFFFFF"/>
        </w:rPr>
        <w:t>Faruque</w:t>
      </w:r>
      <w:proofErr w:type="spellEnd"/>
      <w:r w:rsidRPr="00D06137">
        <w:rPr>
          <w:color w:val="222222"/>
          <w:sz w:val="20"/>
          <w:szCs w:val="20"/>
          <w:shd w:val="clear" w:color="auto" w:fill="FFFFFF"/>
        </w:rPr>
        <w:t>, O., &amp; Ahmed, Z. (2021). Financial Development, International Trade and Economic Growth Nexus (1971-2016): Examining Bangladesh Perspective. </w:t>
      </w:r>
      <w:r w:rsidRPr="00D06137">
        <w:rPr>
          <w:i/>
          <w:iCs/>
          <w:color w:val="222222"/>
          <w:sz w:val="20"/>
          <w:szCs w:val="20"/>
          <w:shd w:val="clear" w:color="auto" w:fill="FFFFFF"/>
        </w:rPr>
        <w:t>Bangladesh Journal of Integrated Thoughts</w:t>
      </w:r>
      <w:r w:rsidRPr="00D06137">
        <w:rPr>
          <w:color w:val="222222"/>
          <w:sz w:val="20"/>
          <w:szCs w:val="20"/>
          <w:shd w:val="clear" w:color="auto" w:fill="FFFFFF"/>
        </w:rPr>
        <w:t>, </w:t>
      </w:r>
      <w:r w:rsidRPr="00D06137">
        <w:rPr>
          <w:i/>
          <w:iCs/>
          <w:color w:val="222222"/>
          <w:sz w:val="20"/>
          <w:szCs w:val="20"/>
          <w:shd w:val="clear" w:color="auto" w:fill="FFFFFF"/>
        </w:rPr>
        <w:t>17</w:t>
      </w:r>
      <w:r w:rsidRPr="00D06137">
        <w:rPr>
          <w:color w:val="222222"/>
          <w:sz w:val="20"/>
          <w:szCs w:val="20"/>
          <w:shd w:val="clear" w:color="auto" w:fill="FFFFFF"/>
        </w:rPr>
        <w:t>(2).</w:t>
      </w:r>
    </w:p>
    <w:p w:rsidR="00D06137" w:rsidRPr="00D06137" w:rsidRDefault="00D06137" w:rsidP="009B4300">
      <w:pPr>
        <w:spacing w:after="0" w:line="276" w:lineRule="auto"/>
        <w:ind w:left="720" w:hanging="720"/>
        <w:jc w:val="both"/>
        <w:rPr>
          <w:sz w:val="20"/>
          <w:szCs w:val="20"/>
        </w:rPr>
      </w:pPr>
      <w:proofErr w:type="spellStart"/>
      <w:proofErr w:type="gramStart"/>
      <w:r w:rsidRPr="00D06137">
        <w:rPr>
          <w:sz w:val="20"/>
          <w:szCs w:val="20"/>
          <w:shd w:val="clear" w:color="auto" w:fill="FFFFFF"/>
        </w:rPr>
        <w:t>DOI:https</w:t>
      </w:r>
      <w:proofErr w:type="spellEnd"/>
      <w:r w:rsidRPr="00D06137">
        <w:rPr>
          <w:sz w:val="20"/>
          <w:szCs w:val="20"/>
          <w:shd w:val="clear" w:color="auto" w:fill="FFFFFF"/>
        </w:rPr>
        <w:t>://doi.org/10.52805/bjit.vl7i2.242</w:t>
      </w:r>
      <w:proofErr w:type="gramEnd"/>
    </w:p>
    <w:p w:rsidR="00EC73E0" w:rsidRDefault="006F7FDE" w:rsidP="009B4300">
      <w:pPr>
        <w:spacing w:after="0" w:line="276" w:lineRule="auto"/>
        <w:ind w:left="720" w:hanging="720"/>
        <w:jc w:val="both"/>
        <w:rPr>
          <w:sz w:val="20"/>
        </w:rPr>
      </w:pPr>
      <w:r w:rsidRPr="004D673D">
        <w:rPr>
          <w:sz w:val="20"/>
        </w:rPr>
        <w:t xml:space="preserve">Islam, M. A., </w:t>
      </w:r>
      <w:proofErr w:type="spellStart"/>
      <w:r w:rsidRPr="004D673D">
        <w:rPr>
          <w:sz w:val="20"/>
        </w:rPr>
        <w:t>Avi</w:t>
      </w:r>
      <w:proofErr w:type="spellEnd"/>
      <w:r w:rsidRPr="004D673D">
        <w:rPr>
          <w:sz w:val="20"/>
        </w:rPr>
        <w:t xml:space="preserve">, M. R., &amp; </w:t>
      </w:r>
      <w:proofErr w:type="spellStart"/>
      <w:r w:rsidRPr="004D673D">
        <w:rPr>
          <w:sz w:val="20"/>
        </w:rPr>
        <w:t>Ashanuzzaman</w:t>
      </w:r>
      <w:proofErr w:type="spellEnd"/>
      <w:r w:rsidRPr="004D673D">
        <w:rPr>
          <w:sz w:val="20"/>
        </w:rPr>
        <w:t>, M. (2022). Assessing the Impact of Liquidity on Profitability: Specific to the Banking Industry of Bangladesh.</w:t>
      </w:r>
      <w:r w:rsidR="00EC73E0">
        <w:rPr>
          <w:sz w:val="20"/>
        </w:rPr>
        <w:t xml:space="preserve">           </w:t>
      </w:r>
    </w:p>
    <w:p w:rsidR="006F7FDE" w:rsidRPr="00EC73E0" w:rsidRDefault="00EC73E0" w:rsidP="009B4300">
      <w:pPr>
        <w:spacing w:after="0" w:line="276" w:lineRule="auto"/>
        <w:ind w:left="720" w:hanging="720"/>
        <w:jc w:val="both"/>
        <w:rPr>
          <w:sz w:val="20"/>
        </w:rPr>
      </w:pPr>
      <w:r w:rsidRPr="00EC73E0">
        <w:rPr>
          <w:sz w:val="20"/>
          <w:szCs w:val="20"/>
        </w:rPr>
        <w:t>DOI: 10.58753/jbspust.3.1.2022.15</w:t>
      </w:r>
    </w:p>
    <w:p w:rsidR="006F7FDE" w:rsidRPr="004D673D" w:rsidRDefault="006F7FDE" w:rsidP="009B4300">
      <w:pPr>
        <w:spacing w:after="0" w:line="276" w:lineRule="auto"/>
        <w:ind w:left="720" w:hanging="720"/>
        <w:jc w:val="both"/>
        <w:rPr>
          <w:sz w:val="20"/>
        </w:rPr>
      </w:pPr>
      <w:r w:rsidRPr="004D673D">
        <w:rPr>
          <w:sz w:val="20"/>
        </w:rPr>
        <w:t xml:space="preserve">Islam, M. N., </w:t>
      </w:r>
      <w:proofErr w:type="spellStart"/>
      <w:r w:rsidRPr="004D673D">
        <w:rPr>
          <w:sz w:val="20"/>
        </w:rPr>
        <w:t>Akter</w:t>
      </w:r>
      <w:proofErr w:type="spellEnd"/>
      <w:r w:rsidRPr="004D673D">
        <w:rPr>
          <w:sz w:val="20"/>
        </w:rPr>
        <w:t xml:space="preserve">, A., </w:t>
      </w:r>
      <w:proofErr w:type="spellStart"/>
      <w:r w:rsidRPr="004D673D">
        <w:rPr>
          <w:sz w:val="20"/>
        </w:rPr>
        <w:t>Alam</w:t>
      </w:r>
      <w:proofErr w:type="spellEnd"/>
      <w:r w:rsidRPr="004D673D">
        <w:rPr>
          <w:sz w:val="20"/>
        </w:rPr>
        <w:t>, M. J., &amp; Shahriar, A. H. M. (2020). Analyzing how credit risk influences the performance of commercial banks in Bangladesh: A quantile regression modeling. International Journal of banking, risk and insurance, 8(2), 14-26.</w:t>
      </w:r>
    </w:p>
    <w:p w:rsidR="006F7FDE" w:rsidRPr="004D673D" w:rsidRDefault="006F7FDE" w:rsidP="009B4300">
      <w:pPr>
        <w:spacing w:after="0" w:line="276" w:lineRule="auto"/>
        <w:ind w:left="720" w:hanging="720"/>
        <w:jc w:val="both"/>
        <w:rPr>
          <w:sz w:val="20"/>
        </w:rPr>
      </w:pPr>
      <w:proofErr w:type="spellStart"/>
      <w:r w:rsidRPr="004D673D">
        <w:rPr>
          <w:sz w:val="20"/>
        </w:rPr>
        <w:t>Jatan</w:t>
      </w:r>
      <w:proofErr w:type="spellEnd"/>
      <w:r w:rsidRPr="004D673D">
        <w:rPr>
          <w:sz w:val="20"/>
        </w:rPr>
        <w:t xml:space="preserve">, R., &amp; Jain, H. (2020). Green banking and profitability: An empirical study of Indian commercial banks. </w:t>
      </w:r>
      <w:proofErr w:type="spellStart"/>
      <w:r w:rsidRPr="004D673D">
        <w:rPr>
          <w:sz w:val="20"/>
        </w:rPr>
        <w:t>Sumedha</w:t>
      </w:r>
      <w:proofErr w:type="spellEnd"/>
      <w:r w:rsidRPr="004D673D">
        <w:rPr>
          <w:sz w:val="20"/>
        </w:rPr>
        <w:t xml:space="preserve"> Journal of Management, 9(2), 14-27.</w:t>
      </w:r>
    </w:p>
    <w:p w:rsidR="006F7FDE" w:rsidRPr="004D673D" w:rsidRDefault="006F7FDE" w:rsidP="009B4300">
      <w:pPr>
        <w:spacing w:after="0" w:line="276" w:lineRule="auto"/>
        <w:ind w:left="720" w:hanging="720"/>
        <w:jc w:val="both"/>
        <w:rPr>
          <w:sz w:val="20"/>
        </w:rPr>
      </w:pPr>
      <w:r w:rsidRPr="004D673D">
        <w:rPr>
          <w:sz w:val="20"/>
        </w:rPr>
        <w:t xml:space="preserve">Julia, T., Noor, A. M., &amp; </w:t>
      </w:r>
      <w:proofErr w:type="spellStart"/>
      <w:r w:rsidRPr="004D673D">
        <w:rPr>
          <w:sz w:val="20"/>
        </w:rPr>
        <w:t>Kassim</w:t>
      </w:r>
      <w:proofErr w:type="spellEnd"/>
      <w:r w:rsidRPr="004D673D">
        <w:rPr>
          <w:sz w:val="20"/>
        </w:rPr>
        <w:t>, S. (2020). Islamic social finance and green finance to achieve SDGs through minimizing post harvesting losses in Bangladesh. Journal of Islamic Finance, 9(2),119-128.</w:t>
      </w:r>
    </w:p>
    <w:p w:rsidR="006F7FDE" w:rsidRPr="004D673D" w:rsidRDefault="006F7FDE" w:rsidP="009B4300">
      <w:pPr>
        <w:spacing w:after="0" w:line="276" w:lineRule="auto"/>
        <w:ind w:left="720" w:hanging="720"/>
        <w:jc w:val="both"/>
        <w:rPr>
          <w:sz w:val="20"/>
        </w:rPr>
      </w:pPr>
      <w:r w:rsidRPr="004D673D">
        <w:rPr>
          <w:sz w:val="20"/>
        </w:rPr>
        <w:t>Karim, M. R., &amp; Mitra, R. K. (2018). A Trend Analysis of Green Banking Practices in Bangladesh. The Cost and Management, 46(1), 3-11.</w:t>
      </w:r>
    </w:p>
    <w:p w:rsidR="006F7FDE" w:rsidRPr="004D673D" w:rsidRDefault="006F7FDE" w:rsidP="009B4300">
      <w:pPr>
        <w:spacing w:after="0" w:line="276" w:lineRule="auto"/>
        <w:ind w:left="720" w:hanging="720"/>
        <w:jc w:val="both"/>
        <w:rPr>
          <w:sz w:val="20"/>
        </w:rPr>
      </w:pPr>
      <w:proofErr w:type="spellStart"/>
      <w:r w:rsidRPr="004D673D">
        <w:rPr>
          <w:sz w:val="20"/>
        </w:rPr>
        <w:t>Khairunnessa</w:t>
      </w:r>
      <w:proofErr w:type="spellEnd"/>
      <w:r w:rsidRPr="004D673D">
        <w:rPr>
          <w:sz w:val="20"/>
        </w:rPr>
        <w:t xml:space="preserve">, F., Vazquez-Brust, D. A., &amp; </w:t>
      </w:r>
      <w:proofErr w:type="spellStart"/>
      <w:r w:rsidRPr="004D673D">
        <w:rPr>
          <w:sz w:val="20"/>
        </w:rPr>
        <w:t>Yakovleva</w:t>
      </w:r>
      <w:proofErr w:type="spellEnd"/>
      <w:r w:rsidRPr="004D673D">
        <w:rPr>
          <w:sz w:val="20"/>
        </w:rPr>
        <w:t xml:space="preserve"> N. (2021). A review of the recent development of green banking in Bangladesh. Sustainability, 13(4), 1904.  </w:t>
      </w:r>
    </w:p>
    <w:p w:rsidR="006F7FDE" w:rsidRPr="004D673D" w:rsidRDefault="006F7FDE" w:rsidP="009B4300">
      <w:pPr>
        <w:spacing w:after="0" w:line="276" w:lineRule="auto"/>
        <w:ind w:left="720" w:hanging="720"/>
        <w:jc w:val="both"/>
        <w:rPr>
          <w:sz w:val="20"/>
        </w:rPr>
      </w:pPr>
      <w:r w:rsidRPr="004D673D">
        <w:rPr>
          <w:sz w:val="20"/>
        </w:rPr>
        <w:t>Khan, I. U., Hameed, Z., Khan, S. U., &amp; Khan, M. A. (2023). Green banking practices, bank reputation, and environmental awareness: evidence from Islamic banks in a developing economy. Environment, Development and Sustainability, 1-21.</w:t>
      </w:r>
    </w:p>
    <w:p w:rsidR="006F7FDE" w:rsidRPr="004D673D" w:rsidRDefault="006F7FDE" w:rsidP="009B4300">
      <w:pPr>
        <w:spacing w:after="0" w:line="276" w:lineRule="auto"/>
        <w:ind w:left="720" w:hanging="720"/>
        <w:jc w:val="both"/>
        <w:rPr>
          <w:sz w:val="20"/>
        </w:rPr>
      </w:pPr>
      <w:r w:rsidRPr="004D673D">
        <w:rPr>
          <w:sz w:val="20"/>
        </w:rPr>
        <w:t xml:space="preserve">khatun, M. N., </w:t>
      </w:r>
      <w:proofErr w:type="spellStart"/>
      <w:r w:rsidRPr="004D673D">
        <w:rPr>
          <w:sz w:val="20"/>
        </w:rPr>
        <w:t>Sarker</w:t>
      </w:r>
      <w:proofErr w:type="spellEnd"/>
      <w:r w:rsidRPr="004D673D">
        <w:rPr>
          <w:sz w:val="20"/>
        </w:rPr>
        <w:t>, M. N. I., &amp; Mitra, S. (2021). Green banking and sustainable development in Bangladesh. Sustainability and climate change, 14(5), 262-271.</w:t>
      </w:r>
    </w:p>
    <w:p w:rsidR="006F7FDE" w:rsidRPr="004D673D" w:rsidRDefault="006F7FDE" w:rsidP="009B4300">
      <w:pPr>
        <w:spacing w:after="0" w:line="276" w:lineRule="auto"/>
        <w:ind w:left="720" w:hanging="720"/>
        <w:jc w:val="both"/>
        <w:rPr>
          <w:sz w:val="20"/>
        </w:rPr>
      </w:pPr>
      <w:proofErr w:type="spellStart"/>
      <w:r w:rsidRPr="004D673D">
        <w:rPr>
          <w:sz w:val="20"/>
        </w:rPr>
        <w:t>Lalon</w:t>
      </w:r>
      <w:proofErr w:type="spellEnd"/>
      <w:r w:rsidRPr="004D673D">
        <w:rPr>
          <w:sz w:val="20"/>
        </w:rPr>
        <w:t xml:space="preserve">, R. M. (2015). Green banking: Going green. International Journal of Economics, finance and management sciences, 3(1), 34-42. </w:t>
      </w:r>
    </w:p>
    <w:p w:rsidR="006F7FDE" w:rsidRPr="004D673D" w:rsidRDefault="006F7FDE" w:rsidP="009B4300">
      <w:pPr>
        <w:spacing w:after="0" w:line="276" w:lineRule="auto"/>
        <w:ind w:left="720" w:hanging="720"/>
        <w:jc w:val="both"/>
        <w:rPr>
          <w:sz w:val="20"/>
        </w:rPr>
      </w:pPr>
      <w:proofErr w:type="spellStart"/>
      <w:r w:rsidRPr="004D673D">
        <w:rPr>
          <w:sz w:val="20"/>
        </w:rPr>
        <w:t>Mcharo</w:t>
      </w:r>
      <w:proofErr w:type="spellEnd"/>
      <w:r w:rsidRPr="004D673D">
        <w:rPr>
          <w:sz w:val="20"/>
        </w:rPr>
        <w:t xml:space="preserve">, R. O., &amp; </w:t>
      </w:r>
      <w:proofErr w:type="spellStart"/>
      <w:r w:rsidRPr="004D673D">
        <w:rPr>
          <w:sz w:val="20"/>
        </w:rPr>
        <w:t>Cobbinah</w:t>
      </w:r>
      <w:proofErr w:type="spellEnd"/>
      <w:r w:rsidRPr="004D673D">
        <w:rPr>
          <w:sz w:val="20"/>
        </w:rPr>
        <w:t xml:space="preserve">, B. B. (2022). A Research on the Impact of Corporate Social Responsibility on the performance of an </w:t>
      </w:r>
      <w:proofErr w:type="gramStart"/>
      <w:r w:rsidRPr="004D673D">
        <w:rPr>
          <w:sz w:val="20"/>
        </w:rPr>
        <w:t>Organization</w:t>
      </w:r>
      <w:proofErr w:type="gramEnd"/>
      <w:r w:rsidRPr="004D673D">
        <w:rPr>
          <w:sz w:val="20"/>
        </w:rPr>
        <w:t xml:space="preserve">: An Empirical Study of the Banking Sector in Tanzania. Open Journal of Business and Management, 10(6), 3531-3563. </w:t>
      </w:r>
    </w:p>
    <w:p w:rsidR="006F7FDE" w:rsidRPr="004D673D" w:rsidRDefault="006F7FDE" w:rsidP="009B4300">
      <w:pPr>
        <w:spacing w:after="0" w:line="276" w:lineRule="auto"/>
        <w:ind w:left="720" w:hanging="720"/>
        <w:jc w:val="both"/>
        <w:rPr>
          <w:sz w:val="20"/>
        </w:rPr>
      </w:pPr>
      <w:proofErr w:type="spellStart"/>
      <w:r w:rsidRPr="004D673D">
        <w:rPr>
          <w:sz w:val="20"/>
        </w:rPr>
        <w:t>Masukujjaman</w:t>
      </w:r>
      <w:proofErr w:type="spellEnd"/>
      <w:r w:rsidRPr="004D673D">
        <w:rPr>
          <w:sz w:val="20"/>
        </w:rPr>
        <w:t xml:space="preserve">, M., </w:t>
      </w:r>
      <w:proofErr w:type="spellStart"/>
      <w:r w:rsidRPr="004D673D">
        <w:rPr>
          <w:sz w:val="20"/>
        </w:rPr>
        <w:t>Siwar</w:t>
      </w:r>
      <w:proofErr w:type="spellEnd"/>
      <w:r w:rsidRPr="004D673D">
        <w:rPr>
          <w:sz w:val="20"/>
        </w:rPr>
        <w:t xml:space="preserve">, C., Mahmud, M. R., &amp; </w:t>
      </w:r>
      <w:proofErr w:type="spellStart"/>
      <w:r w:rsidRPr="004D673D">
        <w:rPr>
          <w:sz w:val="20"/>
        </w:rPr>
        <w:t>Alam</w:t>
      </w:r>
      <w:proofErr w:type="spellEnd"/>
      <w:r w:rsidRPr="004D673D">
        <w:rPr>
          <w:sz w:val="20"/>
        </w:rPr>
        <w:t>, S. S. (2016). Bankers’ perception of Green Banking: Learning from the experience of Islamic banks in Bangladesh. Geografia,12(2).</w:t>
      </w:r>
    </w:p>
    <w:p w:rsidR="006F7FDE" w:rsidRPr="004D673D" w:rsidRDefault="006F7FDE" w:rsidP="009B4300">
      <w:pPr>
        <w:spacing w:after="0" w:line="276" w:lineRule="auto"/>
        <w:ind w:left="720" w:hanging="720"/>
        <w:jc w:val="both"/>
        <w:rPr>
          <w:sz w:val="20"/>
        </w:rPr>
      </w:pPr>
      <w:r w:rsidRPr="004D673D">
        <w:rPr>
          <w:sz w:val="20"/>
        </w:rPr>
        <w:t>Mawla, A. R., &amp; Khanam, F. A. (2018). Performance Evaluation of Islamic Banks in Banks in Bangladesh-A Statistical Analysis. Performance Evaluation, 10(36).</w:t>
      </w:r>
    </w:p>
    <w:p w:rsidR="006F7FDE" w:rsidRPr="004D673D" w:rsidRDefault="006F7FDE" w:rsidP="009B4300">
      <w:pPr>
        <w:spacing w:after="0" w:line="276" w:lineRule="auto"/>
        <w:ind w:left="720" w:hanging="720"/>
        <w:jc w:val="both"/>
        <w:rPr>
          <w:sz w:val="20"/>
        </w:rPr>
      </w:pPr>
      <w:r w:rsidRPr="004D673D">
        <w:rPr>
          <w:sz w:val="20"/>
        </w:rPr>
        <w:t>Moon, Z. K., &amp; Hasan, M. M. (2022). Impact of COVID-19 on green financial practices of banks and financial institutions in Bangladesh. Journal of Business and Social Sciences Research, 7(1), 21-40.</w:t>
      </w:r>
    </w:p>
    <w:p w:rsidR="006F7FDE" w:rsidRPr="004D673D" w:rsidRDefault="006F7FDE" w:rsidP="009B4300">
      <w:pPr>
        <w:spacing w:after="0" w:line="276" w:lineRule="auto"/>
        <w:ind w:left="720" w:hanging="720"/>
        <w:jc w:val="both"/>
        <w:rPr>
          <w:sz w:val="20"/>
        </w:rPr>
      </w:pPr>
      <w:proofErr w:type="spellStart"/>
      <w:r w:rsidRPr="004D673D">
        <w:rPr>
          <w:sz w:val="20"/>
        </w:rPr>
        <w:t>Mohabbat</w:t>
      </w:r>
      <w:proofErr w:type="spellEnd"/>
      <w:r w:rsidRPr="004D673D">
        <w:rPr>
          <w:sz w:val="20"/>
        </w:rPr>
        <w:t xml:space="preserve">, N., Rahman, K., &amp; </w:t>
      </w:r>
      <w:proofErr w:type="spellStart"/>
      <w:r w:rsidRPr="004D673D">
        <w:rPr>
          <w:sz w:val="20"/>
        </w:rPr>
        <w:t>Darda</w:t>
      </w:r>
      <w:proofErr w:type="spellEnd"/>
      <w:r w:rsidRPr="004D673D">
        <w:rPr>
          <w:sz w:val="20"/>
        </w:rPr>
        <w:t>, A. (2018).  Tax Avoidance and Evasion Practices in Bangladesh: A Study on Dhaka City. Research Journal of Finance and Accounting, 98.</w:t>
      </w:r>
    </w:p>
    <w:p w:rsidR="006F7FDE" w:rsidRPr="004D673D" w:rsidRDefault="006F7FDE" w:rsidP="009B4300">
      <w:pPr>
        <w:spacing w:after="0" w:line="276" w:lineRule="auto"/>
        <w:ind w:left="720" w:hanging="720"/>
        <w:jc w:val="both"/>
        <w:rPr>
          <w:sz w:val="20"/>
        </w:rPr>
      </w:pPr>
      <w:r w:rsidRPr="004D673D">
        <w:rPr>
          <w:sz w:val="20"/>
        </w:rPr>
        <w:t>Mir, A. A., &amp; Bhat, A. A. (2022). Green banking and sustainability-a review. Arab Gulf Journal of Scientific Research, 40(3), 247-263.</w:t>
      </w:r>
    </w:p>
    <w:p w:rsidR="006F7FDE" w:rsidRPr="004D673D" w:rsidRDefault="006F7FDE" w:rsidP="009B4300">
      <w:pPr>
        <w:spacing w:after="0" w:line="276" w:lineRule="auto"/>
        <w:ind w:left="720" w:hanging="720"/>
        <w:jc w:val="both"/>
        <w:rPr>
          <w:sz w:val="20"/>
        </w:rPr>
      </w:pPr>
      <w:r w:rsidRPr="004D673D">
        <w:rPr>
          <w:sz w:val="20"/>
        </w:rPr>
        <w:t>Nabi, M. G., Khan, M. M. R., Islam, M. S., &amp; Uddin, M. J. (2016). Are We Greening the Economy? Recent Trends of Green Financing in Bangladesh (No. 1618). Working Paper Series: WP.</w:t>
      </w:r>
    </w:p>
    <w:p w:rsidR="006F7FDE" w:rsidRPr="004D673D" w:rsidRDefault="006F7FDE" w:rsidP="009B4300">
      <w:pPr>
        <w:spacing w:after="0" w:line="276" w:lineRule="auto"/>
        <w:ind w:left="720" w:hanging="720"/>
        <w:jc w:val="both"/>
        <w:rPr>
          <w:sz w:val="20"/>
        </w:rPr>
      </w:pPr>
      <w:r w:rsidRPr="004D673D">
        <w:rPr>
          <w:sz w:val="20"/>
          <w:shd w:val="clear" w:color="auto" w:fill="FFFFFF"/>
        </w:rPr>
        <w:t xml:space="preserve"> </w:t>
      </w:r>
      <w:proofErr w:type="spellStart"/>
      <w:r w:rsidRPr="004D673D">
        <w:rPr>
          <w:sz w:val="20"/>
          <w:shd w:val="clear" w:color="auto" w:fill="FFFFFF"/>
        </w:rPr>
        <w:t>Ngware</w:t>
      </w:r>
      <w:proofErr w:type="spellEnd"/>
      <w:r w:rsidRPr="004D673D">
        <w:rPr>
          <w:sz w:val="20"/>
          <w:shd w:val="clear" w:color="auto" w:fill="FFFFFF"/>
        </w:rPr>
        <w:t xml:space="preserve">, S. G., &amp; </w:t>
      </w:r>
      <w:proofErr w:type="spellStart"/>
      <w:r w:rsidRPr="004D673D">
        <w:rPr>
          <w:sz w:val="20"/>
          <w:shd w:val="clear" w:color="auto" w:fill="FFFFFF"/>
        </w:rPr>
        <w:t>Muluka</w:t>
      </w:r>
      <w:proofErr w:type="spellEnd"/>
      <w:r w:rsidRPr="004D673D">
        <w:rPr>
          <w:sz w:val="20"/>
          <w:shd w:val="clear" w:color="auto" w:fill="FFFFFF"/>
        </w:rPr>
        <w:t>, K. O. effect of Deposits Portfolio on the Financial Performance of Commercial Banks in Kenya.</w:t>
      </w:r>
    </w:p>
    <w:p w:rsidR="006F7FDE" w:rsidRPr="004D673D" w:rsidRDefault="006F7FDE" w:rsidP="009B4300">
      <w:pPr>
        <w:spacing w:after="0" w:line="276" w:lineRule="auto"/>
        <w:ind w:left="720" w:hanging="720"/>
        <w:jc w:val="both"/>
        <w:rPr>
          <w:sz w:val="20"/>
        </w:rPr>
      </w:pPr>
      <w:proofErr w:type="spellStart"/>
      <w:r w:rsidRPr="004D673D">
        <w:rPr>
          <w:sz w:val="20"/>
        </w:rPr>
        <w:t>Onaolapo</w:t>
      </w:r>
      <w:proofErr w:type="spellEnd"/>
      <w:r w:rsidRPr="004D673D">
        <w:rPr>
          <w:sz w:val="20"/>
        </w:rPr>
        <w:t xml:space="preserve">, A.R., &amp; Olanrewaju, J.D. (2024). Impact of Accounting Information System (AIS) Expenditure </w:t>
      </w:r>
      <w:proofErr w:type="gramStart"/>
      <w:r w:rsidRPr="004D673D">
        <w:rPr>
          <w:sz w:val="20"/>
        </w:rPr>
        <w:t>On</w:t>
      </w:r>
      <w:proofErr w:type="gramEnd"/>
      <w:r w:rsidRPr="004D673D">
        <w:rPr>
          <w:sz w:val="20"/>
        </w:rPr>
        <w:t xml:space="preserve"> Financial Performance of Selected Nigerian Deposit Money Banks (NDMBS) (2007-2022). British Journal of Multidisciplinary and Advanced Studies, 5(1), 131-141.</w:t>
      </w:r>
    </w:p>
    <w:p w:rsidR="006F7FDE" w:rsidRPr="004D673D" w:rsidRDefault="006F7FDE" w:rsidP="009B4300">
      <w:pPr>
        <w:spacing w:after="0" w:line="276" w:lineRule="auto"/>
        <w:ind w:left="720" w:hanging="720"/>
        <w:jc w:val="both"/>
        <w:rPr>
          <w:sz w:val="20"/>
        </w:rPr>
      </w:pPr>
      <w:r w:rsidRPr="004D673D">
        <w:rPr>
          <w:sz w:val="20"/>
        </w:rPr>
        <w:t xml:space="preserve">Rahman, M. H., Rahman, J., </w:t>
      </w:r>
      <w:proofErr w:type="spellStart"/>
      <w:r w:rsidRPr="004D673D">
        <w:rPr>
          <w:sz w:val="20"/>
        </w:rPr>
        <w:t>Tanchangya</w:t>
      </w:r>
      <w:proofErr w:type="spellEnd"/>
      <w:r w:rsidRPr="004D673D">
        <w:rPr>
          <w:sz w:val="20"/>
        </w:rPr>
        <w:t xml:space="preserve">, T., &amp; </w:t>
      </w:r>
      <w:proofErr w:type="spellStart"/>
      <w:r w:rsidRPr="004D673D">
        <w:rPr>
          <w:sz w:val="20"/>
        </w:rPr>
        <w:t>Esquivias</w:t>
      </w:r>
      <w:proofErr w:type="spellEnd"/>
      <w:r w:rsidRPr="004D673D">
        <w:rPr>
          <w:sz w:val="20"/>
        </w:rPr>
        <w:t>, M. A. (2023). Green banking initiatives and sustainability: A comparative analysis between Bangladesh and India. Research in Globalization, 100184.</w:t>
      </w:r>
    </w:p>
    <w:p w:rsidR="006F7FDE" w:rsidRPr="004D673D" w:rsidRDefault="006F7FDE" w:rsidP="009B4300">
      <w:pPr>
        <w:spacing w:after="0" w:line="276" w:lineRule="auto"/>
        <w:ind w:left="720" w:hanging="720"/>
        <w:jc w:val="both"/>
        <w:rPr>
          <w:sz w:val="20"/>
        </w:rPr>
      </w:pPr>
      <w:r w:rsidRPr="004D673D">
        <w:rPr>
          <w:sz w:val="20"/>
        </w:rPr>
        <w:lastRenderedPageBreak/>
        <w:t>Rahman, M. M., Hoque, M. S., &amp; Roy, M. (2018). Green Financing and Its Impact on Profitability of the Banks: An Empirical Study on Banking Sector of Bangladesh. Metropolitan University Journal, 6.</w:t>
      </w:r>
    </w:p>
    <w:p w:rsidR="006F7FDE" w:rsidRPr="004D673D" w:rsidRDefault="006F7FDE" w:rsidP="009B4300">
      <w:pPr>
        <w:spacing w:after="0" w:line="276" w:lineRule="auto"/>
        <w:ind w:left="720" w:hanging="720"/>
        <w:jc w:val="both"/>
        <w:rPr>
          <w:sz w:val="20"/>
        </w:rPr>
      </w:pPr>
      <w:r w:rsidRPr="004D673D">
        <w:rPr>
          <w:sz w:val="20"/>
        </w:rPr>
        <w:t>Rahman, F., &amp; Perves, M. M. (2016). Green banking activities in Bangladesh: An analysis and summary of initiatives of Bangladesh Bank. Research Journal of Finance and Accounting, 7(10), 6-7.</w:t>
      </w:r>
    </w:p>
    <w:p w:rsidR="006F7FDE" w:rsidRPr="004D673D" w:rsidRDefault="006F7FDE" w:rsidP="009B4300">
      <w:pPr>
        <w:spacing w:after="0" w:line="276" w:lineRule="auto"/>
        <w:ind w:left="720" w:hanging="720"/>
        <w:jc w:val="both"/>
        <w:rPr>
          <w:sz w:val="20"/>
        </w:rPr>
      </w:pPr>
      <w:r w:rsidRPr="004D673D">
        <w:rPr>
          <w:sz w:val="20"/>
        </w:rPr>
        <w:t xml:space="preserve">Rasul, U. S. M., &amp; </w:t>
      </w:r>
      <w:proofErr w:type="spellStart"/>
      <w:r w:rsidRPr="004D673D">
        <w:rPr>
          <w:sz w:val="20"/>
        </w:rPr>
        <w:t>Abadin</w:t>
      </w:r>
      <w:proofErr w:type="spellEnd"/>
      <w:r w:rsidRPr="004D673D">
        <w:rPr>
          <w:sz w:val="20"/>
        </w:rPr>
        <w:t>, S. S. Sustainable Banking: Analyzing Pattern of Green Banking in Bangladesh.</w:t>
      </w:r>
    </w:p>
    <w:p w:rsidR="006F7FDE" w:rsidRPr="004D673D" w:rsidRDefault="006F7FDE" w:rsidP="009B4300">
      <w:pPr>
        <w:spacing w:after="0" w:line="276" w:lineRule="auto"/>
        <w:ind w:left="720" w:hanging="720"/>
        <w:jc w:val="both"/>
        <w:rPr>
          <w:sz w:val="20"/>
        </w:rPr>
      </w:pPr>
      <w:proofErr w:type="spellStart"/>
      <w:r w:rsidRPr="004D673D">
        <w:rPr>
          <w:sz w:val="20"/>
        </w:rPr>
        <w:t>Ashid</w:t>
      </w:r>
      <w:proofErr w:type="spellEnd"/>
      <w:r w:rsidRPr="004D673D">
        <w:rPr>
          <w:sz w:val="20"/>
        </w:rPr>
        <w:t>, M. H. U., &amp; Uddin, M. M. (2018). Green financing for sustainability: analyzing the trends with challenges and prospects in the context of Bangladesh. International Journal of Green Economics, 12(3-4), 192-208.</w:t>
      </w:r>
    </w:p>
    <w:p w:rsidR="006F7FDE" w:rsidRDefault="006F7FDE" w:rsidP="009B4300">
      <w:pPr>
        <w:spacing w:after="0" w:line="276" w:lineRule="auto"/>
        <w:ind w:left="720" w:hanging="720"/>
        <w:jc w:val="both"/>
        <w:rPr>
          <w:sz w:val="20"/>
        </w:rPr>
      </w:pPr>
      <w:r w:rsidRPr="004D673D">
        <w:rPr>
          <w:sz w:val="20"/>
        </w:rPr>
        <w:t>Raisa, T. S., &amp; Maria, A. N. (2019). Performance of green banking and its effect on economy in Bangladesh. International Journal of Advanced Research, Ideas and Innovations in Technology, 5(1), 58-66.</w:t>
      </w:r>
    </w:p>
    <w:p w:rsidR="00630A22" w:rsidRDefault="00630A22" w:rsidP="009B4300">
      <w:pPr>
        <w:pStyle w:val="Bibliography"/>
        <w:spacing w:after="0" w:line="276" w:lineRule="auto"/>
        <w:ind w:left="720" w:hanging="720"/>
        <w:jc w:val="both"/>
        <w:rPr>
          <w:sz w:val="20"/>
        </w:rPr>
      </w:pPr>
      <w:r w:rsidRPr="00CD6616">
        <w:rPr>
          <w:sz w:val="20"/>
        </w:rPr>
        <w:t xml:space="preserve">Rana, Md. S., &amp; Hossain, S. Z. (2023). Intellectual Capital Valuation of DSE-Listed Non-financial Companies in Bangladesh. </w:t>
      </w:r>
      <w:r w:rsidRPr="00CD6616">
        <w:rPr>
          <w:i/>
          <w:iCs/>
          <w:sz w:val="20"/>
        </w:rPr>
        <w:t>Archives of Business Research</w:t>
      </w:r>
      <w:r w:rsidRPr="00CD6616">
        <w:rPr>
          <w:sz w:val="20"/>
        </w:rPr>
        <w:t xml:space="preserve">, </w:t>
      </w:r>
      <w:r w:rsidRPr="00CD6616">
        <w:rPr>
          <w:i/>
          <w:iCs/>
          <w:sz w:val="20"/>
        </w:rPr>
        <w:t>11</w:t>
      </w:r>
      <w:r w:rsidRPr="00CD6616">
        <w:rPr>
          <w:sz w:val="20"/>
        </w:rPr>
        <w:t>(10), 129–144. https://</w:t>
      </w:r>
      <w:r>
        <w:rPr>
          <w:sz w:val="20"/>
        </w:rPr>
        <w:t>doi.org/10.14738/abr.1110.15468</w:t>
      </w:r>
    </w:p>
    <w:p w:rsidR="006F7FDE" w:rsidRPr="004D673D" w:rsidRDefault="006F7FDE" w:rsidP="009B4300">
      <w:pPr>
        <w:pStyle w:val="Bibliography"/>
        <w:spacing w:after="0" w:line="276" w:lineRule="auto"/>
        <w:ind w:left="720" w:hanging="720"/>
        <w:jc w:val="both"/>
        <w:rPr>
          <w:sz w:val="20"/>
        </w:rPr>
      </w:pPr>
      <w:r w:rsidRPr="004D673D">
        <w:rPr>
          <w:sz w:val="20"/>
        </w:rPr>
        <w:t>Rehman, A., Ullah, I., Afridi, F. E. A., Ullah, Z., Zeeshan, M., Hussain, A., &amp; Rahman, H. U. (2021). Adoption of green banking practices and environmental performance in Pakistan: A demonstration of structural equation modelling. Environment, Development and Sustainability, 1-21.</w:t>
      </w:r>
    </w:p>
    <w:p w:rsidR="006F7FDE" w:rsidRPr="004D673D" w:rsidRDefault="006F7FDE" w:rsidP="009B4300">
      <w:pPr>
        <w:spacing w:after="0" w:line="276" w:lineRule="auto"/>
        <w:ind w:left="720" w:hanging="720"/>
        <w:jc w:val="both"/>
        <w:rPr>
          <w:sz w:val="20"/>
        </w:rPr>
      </w:pPr>
      <w:proofErr w:type="spellStart"/>
      <w:r w:rsidRPr="004D673D">
        <w:rPr>
          <w:sz w:val="20"/>
        </w:rPr>
        <w:t>Redwanuzzaman</w:t>
      </w:r>
      <w:proofErr w:type="spellEnd"/>
      <w:r w:rsidRPr="004D673D">
        <w:rPr>
          <w:sz w:val="20"/>
        </w:rPr>
        <w:t>, M. (2000). The Determinants of green banking adoption in Bangladesh: An environmental perspective. Business Review, 15(1), 18-26.</w:t>
      </w:r>
    </w:p>
    <w:p w:rsidR="006F7FDE" w:rsidRPr="004D673D" w:rsidRDefault="006F7FDE" w:rsidP="009B4300">
      <w:pPr>
        <w:spacing w:after="0" w:line="276" w:lineRule="auto"/>
        <w:ind w:left="720" w:hanging="720"/>
        <w:jc w:val="both"/>
        <w:rPr>
          <w:sz w:val="20"/>
        </w:rPr>
      </w:pPr>
      <w:r w:rsidRPr="004D673D">
        <w:rPr>
          <w:sz w:val="20"/>
        </w:rPr>
        <w:t>Rehman, A., Ullah, I., Afridi, F, E, A., Ullah, Z., Zeeshan, M., Hussain, A., &amp; Rahman, H. U. (2021). Adoption of green banking practices and environmental performance in Pakistan: A demonstration of structural equation modelling. Environment, Development and Sustainability, 1-21.</w:t>
      </w:r>
    </w:p>
    <w:p w:rsidR="006F7FDE" w:rsidRPr="004D673D" w:rsidRDefault="006F7FDE" w:rsidP="009B4300">
      <w:pPr>
        <w:spacing w:after="0" w:line="276" w:lineRule="auto"/>
        <w:ind w:left="720" w:hanging="720"/>
        <w:jc w:val="both"/>
        <w:rPr>
          <w:sz w:val="20"/>
        </w:rPr>
      </w:pPr>
      <w:r w:rsidRPr="004D673D">
        <w:rPr>
          <w:sz w:val="20"/>
        </w:rPr>
        <w:t xml:space="preserve">Ruiz, J. G., </w:t>
      </w:r>
      <w:proofErr w:type="spellStart"/>
      <w:r w:rsidRPr="004D673D">
        <w:rPr>
          <w:sz w:val="20"/>
        </w:rPr>
        <w:t>Arboleda</w:t>
      </w:r>
      <w:proofErr w:type="spellEnd"/>
      <w:r w:rsidRPr="004D673D">
        <w:rPr>
          <w:sz w:val="20"/>
        </w:rPr>
        <w:t>, C. A., &amp; Botero, S. (2016). A proposal for green financing as a mechanism to increase private participation in sustainable water infrastructure systems: The Colombia Case. Procedia Engineering, 145, 180-187.</w:t>
      </w:r>
    </w:p>
    <w:p w:rsidR="006F7FDE" w:rsidRDefault="006F7FDE" w:rsidP="009B4300">
      <w:pPr>
        <w:spacing w:after="0" w:line="276" w:lineRule="auto"/>
        <w:ind w:left="720" w:hanging="720"/>
        <w:jc w:val="both"/>
        <w:rPr>
          <w:sz w:val="20"/>
        </w:rPr>
      </w:pPr>
      <w:r w:rsidRPr="004D673D">
        <w:rPr>
          <w:sz w:val="20"/>
        </w:rPr>
        <w:t xml:space="preserve">Shahriar, A. H. M., </w:t>
      </w:r>
      <w:proofErr w:type="spellStart"/>
      <w:r w:rsidRPr="004D673D">
        <w:rPr>
          <w:sz w:val="20"/>
        </w:rPr>
        <w:t>Alam</w:t>
      </w:r>
      <w:proofErr w:type="spellEnd"/>
      <w:r w:rsidRPr="004D673D">
        <w:rPr>
          <w:sz w:val="20"/>
        </w:rPr>
        <w:t xml:space="preserve">, M.J., Biswas, A. A., </w:t>
      </w:r>
      <w:proofErr w:type="spellStart"/>
      <w:r w:rsidRPr="004D673D">
        <w:rPr>
          <w:sz w:val="20"/>
        </w:rPr>
        <w:t>Rumaly</w:t>
      </w:r>
      <w:proofErr w:type="spellEnd"/>
      <w:r w:rsidRPr="004D673D">
        <w:rPr>
          <w:sz w:val="20"/>
        </w:rPr>
        <w:t>, N., &amp; Golder, U. (2021). Factors shaping capital structure: evidence from private commercial banks in Bangladesh. International Journal of Accounting &amp; Finance Review, 9(1), 1-16.</w:t>
      </w:r>
    </w:p>
    <w:p w:rsidR="00CF53E0" w:rsidRPr="004D673D" w:rsidRDefault="00CF53E0" w:rsidP="009B4300">
      <w:pPr>
        <w:spacing w:after="0" w:line="276" w:lineRule="auto"/>
        <w:ind w:left="720" w:hanging="720"/>
        <w:jc w:val="both"/>
        <w:rPr>
          <w:sz w:val="20"/>
        </w:rPr>
      </w:pPr>
      <w:r>
        <w:rPr>
          <w:rStyle w:val="label"/>
          <w:rFonts w:ascii="Arial" w:hAnsi="Arial" w:cs="Arial"/>
          <w:b/>
          <w:bCs/>
          <w:sz w:val="20"/>
          <w:szCs w:val="20"/>
          <w:shd w:val="clear" w:color="auto" w:fill="FFFFFF"/>
        </w:rPr>
        <w:t>DOI: </w:t>
      </w:r>
      <w:hyperlink r:id="rId13" w:history="1">
        <w:r>
          <w:rPr>
            <w:rStyle w:val="Hyperlink"/>
            <w:rFonts w:ascii="Arial" w:hAnsi="Arial" w:cs="Arial"/>
            <w:color w:val="007AB2"/>
            <w:sz w:val="21"/>
            <w:szCs w:val="21"/>
          </w:rPr>
          <w:t>https://doi.org/10.46281/ijafr.v9i1.1447</w:t>
        </w:r>
      </w:hyperlink>
    </w:p>
    <w:p w:rsidR="006F7FDE" w:rsidRPr="004D673D" w:rsidRDefault="006F7FDE" w:rsidP="009B4300">
      <w:pPr>
        <w:spacing w:after="0" w:line="276" w:lineRule="auto"/>
        <w:ind w:left="720" w:hanging="720"/>
        <w:jc w:val="both"/>
        <w:rPr>
          <w:sz w:val="20"/>
        </w:rPr>
      </w:pPr>
      <w:proofErr w:type="spellStart"/>
      <w:r w:rsidRPr="004D673D">
        <w:rPr>
          <w:sz w:val="20"/>
        </w:rPr>
        <w:t>Shaumya</w:t>
      </w:r>
      <w:proofErr w:type="spellEnd"/>
      <w:r w:rsidRPr="004D673D">
        <w:rPr>
          <w:sz w:val="20"/>
        </w:rPr>
        <w:t xml:space="preserve">, K., &amp; </w:t>
      </w:r>
      <w:proofErr w:type="spellStart"/>
      <w:r w:rsidRPr="004D673D">
        <w:rPr>
          <w:sz w:val="20"/>
        </w:rPr>
        <w:t>Arulrajah</w:t>
      </w:r>
      <w:proofErr w:type="spellEnd"/>
      <w:r w:rsidRPr="004D673D">
        <w:rPr>
          <w:sz w:val="20"/>
        </w:rPr>
        <w:t xml:space="preserve">, A. (2016, December). Measuring green banking practices: Evidence from </w:t>
      </w:r>
      <w:proofErr w:type="spellStart"/>
      <w:r w:rsidRPr="004D673D">
        <w:rPr>
          <w:sz w:val="20"/>
        </w:rPr>
        <w:t>Srilanka</w:t>
      </w:r>
      <w:proofErr w:type="spellEnd"/>
      <w:r w:rsidRPr="004D673D">
        <w:rPr>
          <w:sz w:val="20"/>
        </w:rPr>
        <w:t xml:space="preserve">. In University </w:t>
      </w:r>
      <w:proofErr w:type="gramStart"/>
      <w:r w:rsidRPr="004D673D">
        <w:rPr>
          <w:sz w:val="20"/>
        </w:rPr>
        <w:t>of  Sir</w:t>
      </w:r>
      <w:proofErr w:type="gramEnd"/>
      <w:r w:rsidRPr="004D673D">
        <w:rPr>
          <w:sz w:val="20"/>
        </w:rPr>
        <w:t xml:space="preserve"> Jayewardenepura, Sri Lanka, 13</w:t>
      </w:r>
      <w:r w:rsidRPr="004D673D">
        <w:rPr>
          <w:sz w:val="20"/>
          <w:vertAlign w:val="superscript"/>
        </w:rPr>
        <w:t>th</w:t>
      </w:r>
      <w:r w:rsidRPr="004D673D">
        <w:rPr>
          <w:sz w:val="20"/>
        </w:rPr>
        <w:t xml:space="preserve"> International Conference on Business Management (ICBM).</w:t>
      </w:r>
    </w:p>
    <w:p w:rsidR="006F7FDE" w:rsidRPr="004D673D" w:rsidRDefault="006F7FDE" w:rsidP="009B4300">
      <w:pPr>
        <w:spacing w:after="0" w:line="276" w:lineRule="auto"/>
        <w:ind w:left="720" w:hanging="720"/>
        <w:jc w:val="both"/>
        <w:rPr>
          <w:sz w:val="20"/>
        </w:rPr>
      </w:pPr>
      <w:r w:rsidRPr="004D673D">
        <w:rPr>
          <w:sz w:val="20"/>
        </w:rPr>
        <w:t>Shakil, M. H., Azam, M. K. G., &amp; Raju, M. S. H. (2014). An evaluation of green banking practices in Bangladesh. European Journal of Business and Management, 6(31), 8-16.</w:t>
      </w:r>
    </w:p>
    <w:p w:rsidR="006F7FDE" w:rsidRPr="004D673D" w:rsidRDefault="006F7FDE" w:rsidP="009B4300">
      <w:pPr>
        <w:spacing w:after="0" w:line="276" w:lineRule="auto"/>
        <w:ind w:left="720" w:hanging="720"/>
        <w:jc w:val="both"/>
        <w:rPr>
          <w:sz w:val="20"/>
        </w:rPr>
      </w:pPr>
      <w:r w:rsidRPr="004D673D">
        <w:rPr>
          <w:sz w:val="20"/>
        </w:rPr>
        <w:t xml:space="preserve">Sharma, M., &amp; Choubey, A. (2022). Green banking initiatives: a qualitative study on Indian banking sector. Environment, Development and Sustainability, 24(1), 293-319. </w:t>
      </w:r>
    </w:p>
    <w:p w:rsidR="006F7FDE" w:rsidRDefault="006F7FDE" w:rsidP="009B4300">
      <w:pPr>
        <w:spacing w:after="0" w:line="276" w:lineRule="auto"/>
        <w:ind w:left="720" w:hanging="720"/>
        <w:jc w:val="both"/>
        <w:rPr>
          <w:sz w:val="20"/>
        </w:rPr>
      </w:pPr>
      <w:r w:rsidRPr="004D673D">
        <w:rPr>
          <w:sz w:val="20"/>
        </w:rPr>
        <w:t>SIDDIK, A.B. Sustainability Reporting on Green Financing: A Study of Listed Private Commercial Banks in Bangladesh.</w:t>
      </w:r>
    </w:p>
    <w:p w:rsidR="00630A22" w:rsidRPr="00CD6616" w:rsidRDefault="00630A22" w:rsidP="009B4300">
      <w:pPr>
        <w:pStyle w:val="Bibliography"/>
        <w:spacing w:after="0" w:line="276" w:lineRule="auto"/>
        <w:ind w:left="720" w:hanging="720"/>
        <w:jc w:val="both"/>
        <w:rPr>
          <w:sz w:val="20"/>
        </w:rPr>
      </w:pPr>
      <w:r w:rsidRPr="00CD6616">
        <w:rPr>
          <w:sz w:val="18"/>
        </w:rPr>
        <w:fldChar w:fldCharType="begin"/>
      </w:r>
      <w:r w:rsidRPr="00CD6616">
        <w:rPr>
          <w:sz w:val="18"/>
        </w:rPr>
        <w:instrText xml:space="preserve"> ADDIN ZOTERO_BIBL {"uncited":[],"omitted":[],"custom":[]} CSL_BIBLIOGRAPHY </w:instrText>
      </w:r>
      <w:r w:rsidRPr="00CD6616">
        <w:rPr>
          <w:sz w:val="18"/>
        </w:rPr>
        <w:fldChar w:fldCharType="separate"/>
      </w:r>
      <w:r w:rsidRPr="00CD6616">
        <w:rPr>
          <w:sz w:val="20"/>
        </w:rPr>
        <w:t xml:space="preserve">Sohel Rana, Md., &amp; Hossain, S. Z. (2023). Intellectual Capital, Firm Performance, and Sustainable Growth: A Study on DSE-Listed Nonfinancial Companies in Bangladesh. </w:t>
      </w:r>
      <w:r w:rsidRPr="00CD6616">
        <w:rPr>
          <w:i/>
          <w:iCs/>
          <w:sz w:val="20"/>
        </w:rPr>
        <w:t>Sustainability</w:t>
      </w:r>
      <w:r w:rsidRPr="00CD6616">
        <w:rPr>
          <w:sz w:val="20"/>
        </w:rPr>
        <w:t xml:space="preserve">, </w:t>
      </w:r>
      <w:r w:rsidRPr="00CD6616">
        <w:rPr>
          <w:i/>
          <w:iCs/>
          <w:sz w:val="20"/>
        </w:rPr>
        <w:t>15</w:t>
      </w:r>
      <w:r w:rsidRPr="00CD6616">
        <w:rPr>
          <w:sz w:val="20"/>
        </w:rPr>
        <w:t>(9), 7206. https://doi.org/10.3390/su15097206</w:t>
      </w:r>
    </w:p>
    <w:p w:rsidR="006F7FDE" w:rsidRPr="004D673D" w:rsidRDefault="00630A22" w:rsidP="009B4300">
      <w:pPr>
        <w:spacing w:after="0" w:line="276" w:lineRule="auto"/>
        <w:ind w:left="720" w:hanging="720"/>
        <w:jc w:val="both"/>
        <w:rPr>
          <w:sz w:val="20"/>
        </w:rPr>
      </w:pPr>
      <w:r w:rsidRPr="00CD6616">
        <w:rPr>
          <w:sz w:val="20"/>
        </w:rPr>
        <w:fldChar w:fldCharType="end"/>
      </w:r>
      <w:r w:rsidR="006F7FDE" w:rsidRPr="004D673D">
        <w:rPr>
          <w:sz w:val="20"/>
        </w:rPr>
        <w:t>Taluka, S., Verma, S., &amp; Sharma, J. (2022). BOARD MEETING FREQUENCY AND PERFORMANCE OF PUBLIC SECTOR BANKS IN INDIA. Indian Journal of Finance and Banking, 11(1), 38-44.</w:t>
      </w:r>
    </w:p>
    <w:p w:rsidR="006F7FDE" w:rsidRPr="004D673D" w:rsidRDefault="006F7FDE" w:rsidP="009B4300">
      <w:pPr>
        <w:spacing w:after="0" w:line="276" w:lineRule="auto"/>
        <w:ind w:left="720" w:hanging="720"/>
        <w:jc w:val="both"/>
        <w:rPr>
          <w:sz w:val="20"/>
        </w:rPr>
      </w:pPr>
      <w:r w:rsidRPr="004D673D">
        <w:rPr>
          <w:sz w:val="20"/>
        </w:rPr>
        <w:t>Tu, T. T. T.; (2017). Factors affecting green banking practices: Exploratory factor analysis on Vietnamese banks. Journal of Economic Development, 2017, 24, 04-30. [</w:t>
      </w:r>
      <w:proofErr w:type="spellStart"/>
      <w:r w:rsidRPr="004D673D">
        <w:rPr>
          <w:sz w:val="20"/>
        </w:rPr>
        <w:t>CrossRef</w:t>
      </w:r>
      <w:proofErr w:type="spellEnd"/>
      <w:r w:rsidRPr="004D673D">
        <w:rPr>
          <w:sz w:val="20"/>
        </w:rPr>
        <w:t>]</w:t>
      </w:r>
    </w:p>
    <w:p w:rsidR="006F7FDE" w:rsidRPr="004D673D" w:rsidRDefault="006F7FDE" w:rsidP="009B4300">
      <w:pPr>
        <w:spacing w:after="0" w:line="276" w:lineRule="auto"/>
        <w:ind w:left="720" w:hanging="720"/>
        <w:jc w:val="both"/>
        <w:rPr>
          <w:sz w:val="20"/>
        </w:rPr>
      </w:pPr>
      <w:r w:rsidRPr="004D673D">
        <w:rPr>
          <w:sz w:val="20"/>
        </w:rPr>
        <w:lastRenderedPageBreak/>
        <w:t xml:space="preserve">Uddin, M. N., </w:t>
      </w:r>
      <w:proofErr w:type="spellStart"/>
      <w:r w:rsidRPr="004D673D">
        <w:rPr>
          <w:sz w:val="20"/>
        </w:rPr>
        <w:t>Kassim</w:t>
      </w:r>
      <w:proofErr w:type="spellEnd"/>
      <w:r w:rsidRPr="004D673D">
        <w:rPr>
          <w:sz w:val="20"/>
        </w:rPr>
        <w:t xml:space="preserve">, S., Hamdan, H., Saad, N. B. M., &amp; </w:t>
      </w:r>
      <w:proofErr w:type="spellStart"/>
      <w:r w:rsidRPr="004D673D">
        <w:rPr>
          <w:sz w:val="20"/>
        </w:rPr>
        <w:t>Embi</w:t>
      </w:r>
      <w:proofErr w:type="spellEnd"/>
      <w:r w:rsidRPr="004D673D">
        <w:rPr>
          <w:sz w:val="20"/>
        </w:rPr>
        <w:t xml:space="preserve">, N. A. C. (2021). Green microfinance promoting sustainable development goals (SDGs) in Bangladesh. Journal of Islamic Finance, 10, 011-018. </w:t>
      </w:r>
    </w:p>
    <w:p w:rsidR="006F7FDE" w:rsidRPr="004D673D" w:rsidRDefault="006F7FDE" w:rsidP="009B4300">
      <w:pPr>
        <w:spacing w:after="0" w:line="276" w:lineRule="auto"/>
        <w:ind w:left="720" w:hanging="720"/>
        <w:jc w:val="both"/>
        <w:rPr>
          <w:sz w:val="20"/>
        </w:rPr>
      </w:pPr>
      <w:r w:rsidRPr="004D673D">
        <w:rPr>
          <w:sz w:val="20"/>
        </w:rPr>
        <w:t>Uddin, M. N. (2016). ‘</w:t>
      </w:r>
      <w:proofErr w:type="spellStart"/>
      <w:r w:rsidRPr="004D673D">
        <w:rPr>
          <w:sz w:val="20"/>
        </w:rPr>
        <w:t>Sharia’ah’based</w:t>
      </w:r>
      <w:proofErr w:type="spellEnd"/>
      <w:r w:rsidRPr="004D673D">
        <w:rPr>
          <w:sz w:val="20"/>
        </w:rPr>
        <w:t xml:space="preserve"> banking and green financing: evidence from Bangladesh. Journal of Emerging Economies and Islamic Research, 4(2), 1-22.</w:t>
      </w:r>
    </w:p>
    <w:p w:rsidR="006F7FDE" w:rsidRPr="004D673D" w:rsidRDefault="006F7FDE" w:rsidP="009B4300">
      <w:pPr>
        <w:spacing w:after="0" w:line="276" w:lineRule="auto"/>
        <w:ind w:left="720" w:hanging="720"/>
        <w:jc w:val="both"/>
        <w:rPr>
          <w:sz w:val="20"/>
        </w:rPr>
      </w:pPr>
      <w:r w:rsidRPr="004D673D">
        <w:rPr>
          <w:sz w:val="20"/>
        </w:rPr>
        <w:t>Yasmin, S., &amp; Akhter, I. (2021). Determinants of Green Credit and Its Influencing on Bank Performance in Bangladesh. International Journal of Business, Economics and Law, 25(2), 31-41.</w:t>
      </w:r>
    </w:p>
    <w:p w:rsidR="006F7FDE" w:rsidRPr="004D673D" w:rsidRDefault="006F7FDE" w:rsidP="009B4300">
      <w:pPr>
        <w:spacing w:after="0" w:line="276" w:lineRule="auto"/>
        <w:ind w:left="720" w:hanging="720"/>
        <w:jc w:val="both"/>
        <w:rPr>
          <w:sz w:val="20"/>
        </w:rPr>
      </w:pPr>
      <w:r w:rsidRPr="004D673D">
        <w:rPr>
          <w:sz w:val="20"/>
        </w:rPr>
        <w:t xml:space="preserve">Zhang, X., Wang, Z., Zhong, X., Yang, S., &amp; </w:t>
      </w:r>
      <w:proofErr w:type="spellStart"/>
      <w:r w:rsidRPr="004D673D">
        <w:rPr>
          <w:sz w:val="20"/>
        </w:rPr>
        <w:t>Siddik</w:t>
      </w:r>
      <w:proofErr w:type="spellEnd"/>
      <w:r w:rsidRPr="004D673D">
        <w:rPr>
          <w:sz w:val="20"/>
        </w:rPr>
        <w:t>, A. B. (2022). DO green banking activities improve the banks’ environment performance? The mediating effect of green financing. Sustainability, 14(2), 989.</w:t>
      </w:r>
    </w:p>
    <w:p w:rsidR="006F7FDE" w:rsidRPr="004D673D" w:rsidRDefault="006F7FDE" w:rsidP="009B4300">
      <w:pPr>
        <w:spacing w:after="0" w:line="276" w:lineRule="auto"/>
        <w:ind w:left="720" w:hanging="720"/>
        <w:jc w:val="both"/>
        <w:rPr>
          <w:sz w:val="20"/>
        </w:rPr>
      </w:pPr>
      <w:r w:rsidRPr="004D673D">
        <w:rPr>
          <w:sz w:val="20"/>
        </w:rPr>
        <w:t xml:space="preserve">Zheng, G.-W., </w:t>
      </w:r>
      <w:proofErr w:type="spellStart"/>
      <w:r w:rsidRPr="004D673D">
        <w:rPr>
          <w:sz w:val="20"/>
        </w:rPr>
        <w:t>Siddik</w:t>
      </w:r>
      <w:proofErr w:type="spellEnd"/>
      <w:r w:rsidRPr="004D673D">
        <w:rPr>
          <w:sz w:val="20"/>
        </w:rPr>
        <w:t xml:space="preserve">, A. B., </w:t>
      </w:r>
      <w:proofErr w:type="spellStart"/>
      <w:r w:rsidRPr="004D673D">
        <w:rPr>
          <w:sz w:val="20"/>
        </w:rPr>
        <w:t>Masukujjaman</w:t>
      </w:r>
      <w:proofErr w:type="spellEnd"/>
      <w:r w:rsidRPr="004D673D">
        <w:rPr>
          <w:sz w:val="20"/>
        </w:rPr>
        <w:t>, M., &amp; Fatema, N. (2021). Factors affecting the sustainability performance of financial institution in Bangladesh: the role of green finance. Sustainability, 13(18), 10165. https://doi.org/10.3390/su131810165</w:t>
      </w:r>
    </w:p>
    <w:p w:rsidR="006F7FDE" w:rsidRPr="004D673D" w:rsidRDefault="006F7FDE" w:rsidP="009B4300">
      <w:pPr>
        <w:pStyle w:val="Default"/>
        <w:spacing w:line="276" w:lineRule="auto"/>
        <w:ind w:left="720" w:hanging="720"/>
        <w:contextualSpacing/>
        <w:jc w:val="both"/>
        <w:rPr>
          <w:color w:val="C00000"/>
          <w:sz w:val="20"/>
          <w:shd w:val="clear" w:color="auto" w:fill="FFFFFF"/>
        </w:rPr>
      </w:pPr>
      <w:proofErr w:type="spellStart"/>
      <w:r w:rsidRPr="004D673D">
        <w:rPr>
          <w:color w:val="222222"/>
          <w:sz w:val="20"/>
          <w:shd w:val="clear" w:color="auto" w:fill="FFFFFF"/>
        </w:rPr>
        <w:t>Zhixia</w:t>
      </w:r>
      <w:proofErr w:type="spellEnd"/>
      <w:r w:rsidRPr="004D673D">
        <w:rPr>
          <w:color w:val="222222"/>
          <w:sz w:val="20"/>
          <w:shd w:val="clear" w:color="auto" w:fill="FFFFFF"/>
        </w:rPr>
        <w:t xml:space="preserve">, C., </w:t>
      </w:r>
      <w:proofErr w:type="spellStart"/>
      <w:r w:rsidRPr="004D673D">
        <w:rPr>
          <w:color w:val="222222"/>
          <w:sz w:val="20"/>
          <w:shd w:val="clear" w:color="auto" w:fill="FFFFFF"/>
        </w:rPr>
        <w:t>Hossen</w:t>
      </w:r>
      <w:proofErr w:type="spellEnd"/>
      <w:r w:rsidRPr="004D673D">
        <w:rPr>
          <w:color w:val="222222"/>
          <w:sz w:val="20"/>
          <w:shd w:val="clear" w:color="auto" w:fill="FFFFFF"/>
        </w:rPr>
        <w:t xml:space="preserve">, M. M., </w:t>
      </w:r>
      <w:proofErr w:type="spellStart"/>
      <w:r w:rsidRPr="004D673D">
        <w:rPr>
          <w:color w:val="222222"/>
          <w:sz w:val="20"/>
          <w:shd w:val="clear" w:color="auto" w:fill="FFFFFF"/>
        </w:rPr>
        <w:t>Muzafary</w:t>
      </w:r>
      <w:proofErr w:type="spellEnd"/>
      <w:r w:rsidRPr="004D673D">
        <w:rPr>
          <w:color w:val="222222"/>
          <w:sz w:val="20"/>
          <w:shd w:val="clear" w:color="auto" w:fill="FFFFFF"/>
        </w:rPr>
        <w:t>, S. S., &amp; Begum, M. (2018). Green banking for environmental     sustainability-present status and future agenda: Experience from Bangladesh. Asian Economic and Financial Review, 8(5), 571-585.</w:t>
      </w:r>
    </w:p>
    <w:p w:rsidR="006F7FDE" w:rsidRPr="00772DEA" w:rsidRDefault="006F7FDE" w:rsidP="009B4300">
      <w:pPr>
        <w:pStyle w:val="Default"/>
        <w:spacing w:line="276" w:lineRule="auto"/>
        <w:contextualSpacing/>
        <w:jc w:val="both"/>
        <w:rPr>
          <w:color w:val="000000" w:themeColor="text1"/>
        </w:rPr>
      </w:pPr>
    </w:p>
    <w:p w:rsidR="006F7FDE" w:rsidRPr="00772DEA" w:rsidRDefault="006F7FDE" w:rsidP="009B4300">
      <w:pPr>
        <w:pStyle w:val="Default"/>
        <w:spacing w:line="276" w:lineRule="auto"/>
        <w:contextualSpacing/>
        <w:jc w:val="both"/>
        <w:rPr>
          <w:color w:val="000000" w:themeColor="text1"/>
        </w:rPr>
      </w:pPr>
    </w:p>
    <w:p w:rsidR="006F7FDE" w:rsidRPr="002055C6" w:rsidRDefault="006F7FDE" w:rsidP="009B4300">
      <w:pPr>
        <w:spacing w:after="0" w:line="276" w:lineRule="auto"/>
        <w:jc w:val="both"/>
      </w:pPr>
    </w:p>
    <w:sectPr w:rsidR="006F7FDE" w:rsidRPr="002055C6" w:rsidSect="00637914">
      <w:footerReference w:type="default" r:id="rId14"/>
      <w:pgSz w:w="11909" w:h="16834" w:code="9"/>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97602A" w:rsidRDefault="0097602A">
      <w:pPr>
        <w:spacing w:after="0" w:line="240" w:lineRule="auto"/>
      </w:pPr>
      <w:r>
        <w:separator/>
      </w:r>
    </w:p>
  </w:endnote>
  <w:endnote w:type="continuationSeparator" w:id="0">
    <w:p w:rsidR="0097602A" w:rsidRDefault="009760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rinda">
    <w:panose1 w:val="020B0502040204020203"/>
    <w:charset w:val="00"/>
    <w:family w:val="swiss"/>
    <w:pitch w:val="variable"/>
    <w:sig w:usb0="0001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585A62" w:rsidRDefault="00585A62">
    <w:pPr>
      <w:pStyle w:val="Footer"/>
      <w:jc w:val="center"/>
    </w:pPr>
    <w:r>
      <w:fldChar w:fldCharType="begin"/>
    </w:r>
    <w:r>
      <w:instrText xml:space="preserve"> PAGE   \* MERGEFORMAT </w:instrText>
    </w:r>
    <w:r>
      <w:fldChar w:fldCharType="separate"/>
    </w:r>
    <w:r w:rsidR="00396912">
      <w:rPr>
        <w:noProof/>
      </w:rPr>
      <w:t>1</w:t>
    </w:r>
    <w:r>
      <w:fldChar w:fldCharType="end"/>
    </w:r>
  </w:p>
  <w:p w:rsidR="00585A62" w:rsidRDefault="00585A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97602A" w:rsidRDefault="0097602A">
      <w:pPr>
        <w:spacing w:after="0" w:line="240" w:lineRule="auto"/>
      </w:pPr>
      <w:r>
        <w:separator/>
      </w:r>
    </w:p>
  </w:footnote>
  <w:footnote w:type="continuationSeparator" w:id="0">
    <w:p w:rsidR="0097602A" w:rsidRDefault="0097602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E3386"/>
    <w:multiLevelType w:val="hybridMultilevel"/>
    <w:tmpl w:val="8A8478BA"/>
    <w:lvl w:ilvl="0" w:tplc="B6E2741A">
      <w:start w:val="1"/>
      <w:numFmt w:val="lowerRoman"/>
      <w:lvlText w:val="%1."/>
      <w:lvlJc w:val="left"/>
      <w:pPr>
        <w:ind w:left="780" w:hanging="72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 w15:restartNumberingAfterBreak="0">
    <w:nsid w:val="014D19AA"/>
    <w:multiLevelType w:val="hybridMultilevel"/>
    <w:tmpl w:val="6596BAA0"/>
    <w:lvl w:ilvl="0" w:tplc="8DC67DC4">
      <w:start w:val="1"/>
      <w:numFmt w:val="lowerRoman"/>
      <w:lvlText w:val="%1)"/>
      <w:lvlJc w:val="left"/>
      <w:pPr>
        <w:ind w:left="780" w:hanging="72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2" w15:restartNumberingAfterBreak="0">
    <w:nsid w:val="05F2403A"/>
    <w:multiLevelType w:val="hybridMultilevel"/>
    <w:tmpl w:val="2CE6CD20"/>
    <w:lvl w:ilvl="0" w:tplc="63308C4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6523525"/>
    <w:multiLevelType w:val="hybridMultilevel"/>
    <w:tmpl w:val="338CF92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3142AF"/>
    <w:multiLevelType w:val="hybridMultilevel"/>
    <w:tmpl w:val="4C32ACE6"/>
    <w:lvl w:ilvl="0" w:tplc="A588F33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873B61"/>
    <w:multiLevelType w:val="multilevel"/>
    <w:tmpl w:val="C9E02A0C"/>
    <w:lvl w:ilvl="0">
      <w:start w:val="1"/>
      <w:numFmt w:val="decimal"/>
      <w:lvlText w:val="%1"/>
      <w:lvlJc w:val="left"/>
      <w:pPr>
        <w:ind w:left="360" w:hanging="360"/>
      </w:pPr>
      <w:rPr>
        <w:rFonts w:hint="default"/>
      </w:rPr>
    </w:lvl>
    <w:lvl w:ilvl="1">
      <w:start w:val="1"/>
      <w:numFmt w:val="decimal"/>
      <w:lvlText w:val="%1.%2"/>
      <w:lvlJc w:val="left"/>
      <w:pPr>
        <w:ind w:left="420" w:hanging="360"/>
      </w:pPr>
      <w:rPr>
        <w:rFonts w:hint="default"/>
      </w:rPr>
    </w:lvl>
    <w:lvl w:ilvl="2">
      <w:start w:val="1"/>
      <w:numFmt w:val="decimal"/>
      <w:lvlText w:val="%1.%2.%3"/>
      <w:lvlJc w:val="left"/>
      <w:pPr>
        <w:ind w:left="840" w:hanging="720"/>
      </w:pPr>
      <w:rPr>
        <w:rFonts w:hint="default"/>
      </w:rPr>
    </w:lvl>
    <w:lvl w:ilvl="3">
      <w:start w:val="1"/>
      <w:numFmt w:val="decimal"/>
      <w:lvlText w:val="%1.%2.%3.%4"/>
      <w:lvlJc w:val="left"/>
      <w:pPr>
        <w:ind w:left="900" w:hanging="720"/>
      </w:pPr>
      <w:rPr>
        <w:rFonts w:hint="default"/>
      </w:rPr>
    </w:lvl>
    <w:lvl w:ilvl="4">
      <w:start w:val="1"/>
      <w:numFmt w:val="decimal"/>
      <w:lvlText w:val="%1.%2.%3.%4.%5"/>
      <w:lvlJc w:val="left"/>
      <w:pPr>
        <w:ind w:left="1320" w:hanging="1080"/>
      </w:pPr>
      <w:rPr>
        <w:rFonts w:hint="default"/>
      </w:rPr>
    </w:lvl>
    <w:lvl w:ilvl="5">
      <w:start w:val="1"/>
      <w:numFmt w:val="decimal"/>
      <w:lvlText w:val="%1.%2.%3.%4.%5.%6"/>
      <w:lvlJc w:val="left"/>
      <w:pPr>
        <w:ind w:left="1380" w:hanging="1080"/>
      </w:pPr>
      <w:rPr>
        <w:rFonts w:hint="default"/>
      </w:rPr>
    </w:lvl>
    <w:lvl w:ilvl="6">
      <w:start w:val="1"/>
      <w:numFmt w:val="decimal"/>
      <w:lvlText w:val="%1.%2.%3.%4.%5.%6.%7"/>
      <w:lvlJc w:val="left"/>
      <w:pPr>
        <w:ind w:left="1800" w:hanging="1440"/>
      </w:pPr>
      <w:rPr>
        <w:rFonts w:hint="default"/>
      </w:rPr>
    </w:lvl>
    <w:lvl w:ilvl="7">
      <w:start w:val="1"/>
      <w:numFmt w:val="decimal"/>
      <w:lvlText w:val="%1.%2.%3.%4.%5.%6.%7.%8"/>
      <w:lvlJc w:val="left"/>
      <w:pPr>
        <w:ind w:left="1860" w:hanging="1440"/>
      </w:pPr>
      <w:rPr>
        <w:rFonts w:hint="default"/>
      </w:rPr>
    </w:lvl>
    <w:lvl w:ilvl="8">
      <w:start w:val="1"/>
      <w:numFmt w:val="decimal"/>
      <w:lvlText w:val="%1.%2.%3.%4.%5.%6.%7.%8.%9"/>
      <w:lvlJc w:val="left"/>
      <w:pPr>
        <w:ind w:left="2280" w:hanging="1800"/>
      </w:pPr>
      <w:rPr>
        <w:rFonts w:hint="default"/>
      </w:rPr>
    </w:lvl>
  </w:abstractNum>
  <w:abstractNum w:abstractNumId="6" w15:restartNumberingAfterBreak="0">
    <w:nsid w:val="0B4049F6"/>
    <w:multiLevelType w:val="multilevel"/>
    <w:tmpl w:val="307421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0443BC8"/>
    <w:multiLevelType w:val="hybridMultilevel"/>
    <w:tmpl w:val="4986FA90"/>
    <w:lvl w:ilvl="0" w:tplc="17D2537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0ED0BB3"/>
    <w:multiLevelType w:val="hybridMultilevel"/>
    <w:tmpl w:val="EDA8D2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35B2BF7"/>
    <w:multiLevelType w:val="hybridMultilevel"/>
    <w:tmpl w:val="9B6049D0"/>
    <w:lvl w:ilvl="0" w:tplc="66009B88">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156B6F7B"/>
    <w:multiLevelType w:val="hybridMultilevel"/>
    <w:tmpl w:val="BFAE0E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A833B22"/>
    <w:multiLevelType w:val="hybridMultilevel"/>
    <w:tmpl w:val="41DC1376"/>
    <w:lvl w:ilvl="0" w:tplc="66009B8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E5B46DA"/>
    <w:multiLevelType w:val="hybridMultilevel"/>
    <w:tmpl w:val="9982B9FA"/>
    <w:lvl w:ilvl="0" w:tplc="A800AB7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3B638C5"/>
    <w:multiLevelType w:val="hybridMultilevel"/>
    <w:tmpl w:val="97DC54CC"/>
    <w:lvl w:ilvl="0" w:tplc="C47EAA5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5962DC7"/>
    <w:multiLevelType w:val="hybridMultilevel"/>
    <w:tmpl w:val="91EECAFA"/>
    <w:lvl w:ilvl="0" w:tplc="B3BE19A8">
      <w:start w:val="1"/>
      <w:numFmt w:val="lowerRoman"/>
      <w:lvlText w:val="%1)"/>
      <w:lvlJc w:val="left"/>
      <w:pPr>
        <w:ind w:left="780" w:hanging="72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5" w15:restartNumberingAfterBreak="0">
    <w:nsid w:val="35BD41E1"/>
    <w:multiLevelType w:val="multilevel"/>
    <w:tmpl w:val="39A4C204"/>
    <w:lvl w:ilvl="0">
      <w:start w:val="1"/>
      <w:numFmt w:val="upperRoman"/>
      <w:lvlText w:val="%1."/>
      <w:lvlJc w:val="right"/>
      <w:pPr>
        <w:tabs>
          <w:tab w:val="num" w:pos="720"/>
        </w:tabs>
        <w:ind w:left="720" w:hanging="360"/>
      </w:pPr>
      <w:rPr>
        <w:rFonts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89616A1"/>
    <w:multiLevelType w:val="hybridMultilevel"/>
    <w:tmpl w:val="B7F851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9750FEB"/>
    <w:multiLevelType w:val="multilevel"/>
    <w:tmpl w:val="A566D8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C362849"/>
    <w:multiLevelType w:val="multilevel"/>
    <w:tmpl w:val="7EAA9D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1CF72B4"/>
    <w:multiLevelType w:val="hybridMultilevel"/>
    <w:tmpl w:val="BB8A51EC"/>
    <w:lvl w:ilvl="0" w:tplc="4B9AAADE">
      <w:start w:val="1"/>
      <w:numFmt w:val="lowerRoman"/>
      <w:lvlText w:val="%1)"/>
      <w:lvlJc w:val="left"/>
      <w:pPr>
        <w:ind w:left="1080" w:hanging="72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39C0909"/>
    <w:multiLevelType w:val="hybridMultilevel"/>
    <w:tmpl w:val="BEE6ED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A944B31"/>
    <w:multiLevelType w:val="hybridMultilevel"/>
    <w:tmpl w:val="B92A177E"/>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4BAC39F7"/>
    <w:multiLevelType w:val="hybridMultilevel"/>
    <w:tmpl w:val="5A8899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C925230"/>
    <w:multiLevelType w:val="hybridMultilevel"/>
    <w:tmpl w:val="B64620D2"/>
    <w:lvl w:ilvl="0" w:tplc="A3EAC0A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57B2197"/>
    <w:multiLevelType w:val="hybridMultilevel"/>
    <w:tmpl w:val="5C9097C0"/>
    <w:lvl w:ilvl="0" w:tplc="F3F6E72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5AB3E27"/>
    <w:multiLevelType w:val="hybridMultilevel"/>
    <w:tmpl w:val="829AAC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7FA5190"/>
    <w:multiLevelType w:val="hybridMultilevel"/>
    <w:tmpl w:val="9558F10E"/>
    <w:lvl w:ilvl="0" w:tplc="85522F8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94621E4"/>
    <w:multiLevelType w:val="multilevel"/>
    <w:tmpl w:val="CED8B0BA"/>
    <w:lvl w:ilvl="0">
      <w:start w:val="1"/>
      <w:numFmt w:val="lowerRoman"/>
      <w:lvlText w:val="%1)"/>
      <w:lvlJc w:val="left"/>
      <w:pPr>
        <w:tabs>
          <w:tab w:val="num" w:pos="720"/>
        </w:tabs>
        <w:ind w:left="720" w:hanging="360"/>
      </w:pPr>
      <w:rPr>
        <w:rFonts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59FD7ACD"/>
    <w:multiLevelType w:val="hybridMultilevel"/>
    <w:tmpl w:val="D220BB32"/>
    <w:lvl w:ilvl="0" w:tplc="B4EAF1E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ED67921"/>
    <w:multiLevelType w:val="hybridMultilevel"/>
    <w:tmpl w:val="D932EB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36E43D9"/>
    <w:multiLevelType w:val="hybridMultilevel"/>
    <w:tmpl w:val="52C4895E"/>
    <w:lvl w:ilvl="0" w:tplc="66009B8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3C83162"/>
    <w:multiLevelType w:val="multilevel"/>
    <w:tmpl w:val="7BF4E3BE"/>
    <w:lvl w:ilvl="0">
      <w:start w:val="1"/>
      <w:numFmt w:val="decimal"/>
      <w:lvlText w:val="%1"/>
      <w:lvlJc w:val="left"/>
      <w:pPr>
        <w:ind w:left="360" w:hanging="360"/>
      </w:pPr>
      <w:rPr>
        <w:rFonts w:hint="default"/>
      </w:rPr>
    </w:lvl>
    <w:lvl w:ilvl="1">
      <w:start w:val="4"/>
      <w:numFmt w:val="decimal"/>
      <w:lvlText w:val="%1.%2"/>
      <w:lvlJc w:val="left"/>
      <w:pPr>
        <w:ind w:left="420" w:hanging="360"/>
      </w:pPr>
      <w:rPr>
        <w:rFonts w:hint="default"/>
      </w:rPr>
    </w:lvl>
    <w:lvl w:ilvl="2">
      <w:start w:val="1"/>
      <w:numFmt w:val="decimal"/>
      <w:lvlText w:val="%1.%2.%3"/>
      <w:lvlJc w:val="left"/>
      <w:pPr>
        <w:ind w:left="840" w:hanging="720"/>
      </w:pPr>
      <w:rPr>
        <w:rFonts w:hint="default"/>
      </w:rPr>
    </w:lvl>
    <w:lvl w:ilvl="3">
      <w:start w:val="1"/>
      <w:numFmt w:val="decimal"/>
      <w:lvlText w:val="%1.%2.%3.%4"/>
      <w:lvlJc w:val="left"/>
      <w:pPr>
        <w:ind w:left="900" w:hanging="720"/>
      </w:pPr>
      <w:rPr>
        <w:rFonts w:hint="default"/>
      </w:rPr>
    </w:lvl>
    <w:lvl w:ilvl="4">
      <w:start w:val="1"/>
      <w:numFmt w:val="decimal"/>
      <w:lvlText w:val="%1.%2.%3.%4.%5"/>
      <w:lvlJc w:val="left"/>
      <w:pPr>
        <w:ind w:left="1320" w:hanging="1080"/>
      </w:pPr>
      <w:rPr>
        <w:rFonts w:hint="default"/>
      </w:rPr>
    </w:lvl>
    <w:lvl w:ilvl="5">
      <w:start w:val="1"/>
      <w:numFmt w:val="decimal"/>
      <w:lvlText w:val="%1.%2.%3.%4.%5.%6"/>
      <w:lvlJc w:val="left"/>
      <w:pPr>
        <w:ind w:left="1380" w:hanging="1080"/>
      </w:pPr>
      <w:rPr>
        <w:rFonts w:hint="default"/>
      </w:rPr>
    </w:lvl>
    <w:lvl w:ilvl="6">
      <w:start w:val="1"/>
      <w:numFmt w:val="decimal"/>
      <w:lvlText w:val="%1.%2.%3.%4.%5.%6.%7"/>
      <w:lvlJc w:val="left"/>
      <w:pPr>
        <w:ind w:left="1800" w:hanging="1440"/>
      </w:pPr>
      <w:rPr>
        <w:rFonts w:hint="default"/>
      </w:rPr>
    </w:lvl>
    <w:lvl w:ilvl="7">
      <w:start w:val="1"/>
      <w:numFmt w:val="decimal"/>
      <w:lvlText w:val="%1.%2.%3.%4.%5.%6.%7.%8"/>
      <w:lvlJc w:val="left"/>
      <w:pPr>
        <w:ind w:left="1860" w:hanging="1440"/>
      </w:pPr>
      <w:rPr>
        <w:rFonts w:hint="default"/>
      </w:rPr>
    </w:lvl>
    <w:lvl w:ilvl="8">
      <w:start w:val="1"/>
      <w:numFmt w:val="decimal"/>
      <w:lvlText w:val="%1.%2.%3.%4.%5.%6.%7.%8.%9"/>
      <w:lvlJc w:val="left"/>
      <w:pPr>
        <w:ind w:left="2280" w:hanging="1800"/>
      </w:pPr>
      <w:rPr>
        <w:rFonts w:hint="default"/>
      </w:rPr>
    </w:lvl>
  </w:abstractNum>
  <w:abstractNum w:abstractNumId="32" w15:restartNumberingAfterBreak="0">
    <w:nsid w:val="65FB1285"/>
    <w:multiLevelType w:val="hybridMultilevel"/>
    <w:tmpl w:val="DEFC1AA8"/>
    <w:lvl w:ilvl="0" w:tplc="B588CAC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6EA76B4"/>
    <w:multiLevelType w:val="hybridMultilevel"/>
    <w:tmpl w:val="D6CCD6DC"/>
    <w:lvl w:ilvl="0" w:tplc="26E8108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8292E8F"/>
    <w:multiLevelType w:val="hybridMultilevel"/>
    <w:tmpl w:val="744882B8"/>
    <w:lvl w:ilvl="0" w:tplc="C144FA5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8C34937"/>
    <w:multiLevelType w:val="multilevel"/>
    <w:tmpl w:val="1FB257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699F5904"/>
    <w:multiLevelType w:val="multilevel"/>
    <w:tmpl w:val="7414B5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6BAD13B1"/>
    <w:multiLevelType w:val="hybridMultilevel"/>
    <w:tmpl w:val="FE0E24A6"/>
    <w:lvl w:ilvl="0" w:tplc="3828A4BA">
      <w:start w:val="1"/>
      <w:numFmt w:val="lowerRoman"/>
      <w:lvlText w:val="%1)"/>
      <w:lvlJc w:val="left"/>
      <w:pPr>
        <w:ind w:left="780" w:hanging="72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38" w15:restartNumberingAfterBreak="0">
    <w:nsid w:val="709A0752"/>
    <w:multiLevelType w:val="hybridMultilevel"/>
    <w:tmpl w:val="96B875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2834D14"/>
    <w:multiLevelType w:val="hybridMultilevel"/>
    <w:tmpl w:val="5D061C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4313F57"/>
    <w:multiLevelType w:val="hybridMultilevel"/>
    <w:tmpl w:val="5D781FCA"/>
    <w:lvl w:ilvl="0" w:tplc="42E0DD3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83277AA"/>
    <w:multiLevelType w:val="hybridMultilevel"/>
    <w:tmpl w:val="2932B1A8"/>
    <w:lvl w:ilvl="0" w:tplc="8DC67DC4">
      <w:start w:val="1"/>
      <w:numFmt w:val="lowerRoman"/>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15:restartNumberingAfterBreak="0">
    <w:nsid w:val="790A4A80"/>
    <w:multiLevelType w:val="multilevel"/>
    <w:tmpl w:val="C9E02A0C"/>
    <w:lvl w:ilvl="0">
      <w:start w:val="1"/>
      <w:numFmt w:val="decimal"/>
      <w:lvlText w:val="%1"/>
      <w:lvlJc w:val="left"/>
      <w:pPr>
        <w:ind w:left="360" w:hanging="360"/>
      </w:pPr>
      <w:rPr>
        <w:rFonts w:hint="default"/>
      </w:rPr>
    </w:lvl>
    <w:lvl w:ilvl="1">
      <w:start w:val="1"/>
      <w:numFmt w:val="decimal"/>
      <w:lvlText w:val="%1.%2"/>
      <w:lvlJc w:val="left"/>
      <w:pPr>
        <w:ind w:left="420" w:hanging="360"/>
      </w:pPr>
      <w:rPr>
        <w:rFonts w:hint="default"/>
      </w:rPr>
    </w:lvl>
    <w:lvl w:ilvl="2">
      <w:start w:val="1"/>
      <w:numFmt w:val="decimal"/>
      <w:lvlText w:val="%1.%2.%3"/>
      <w:lvlJc w:val="left"/>
      <w:pPr>
        <w:ind w:left="840" w:hanging="720"/>
      </w:pPr>
      <w:rPr>
        <w:rFonts w:hint="default"/>
      </w:rPr>
    </w:lvl>
    <w:lvl w:ilvl="3">
      <w:start w:val="1"/>
      <w:numFmt w:val="decimal"/>
      <w:lvlText w:val="%1.%2.%3.%4"/>
      <w:lvlJc w:val="left"/>
      <w:pPr>
        <w:ind w:left="900" w:hanging="720"/>
      </w:pPr>
      <w:rPr>
        <w:rFonts w:hint="default"/>
      </w:rPr>
    </w:lvl>
    <w:lvl w:ilvl="4">
      <w:start w:val="1"/>
      <w:numFmt w:val="decimal"/>
      <w:lvlText w:val="%1.%2.%3.%4.%5"/>
      <w:lvlJc w:val="left"/>
      <w:pPr>
        <w:ind w:left="1320" w:hanging="1080"/>
      </w:pPr>
      <w:rPr>
        <w:rFonts w:hint="default"/>
      </w:rPr>
    </w:lvl>
    <w:lvl w:ilvl="5">
      <w:start w:val="1"/>
      <w:numFmt w:val="decimal"/>
      <w:lvlText w:val="%1.%2.%3.%4.%5.%6"/>
      <w:lvlJc w:val="left"/>
      <w:pPr>
        <w:ind w:left="1380" w:hanging="1080"/>
      </w:pPr>
      <w:rPr>
        <w:rFonts w:hint="default"/>
      </w:rPr>
    </w:lvl>
    <w:lvl w:ilvl="6">
      <w:start w:val="1"/>
      <w:numFmt w:val="decimal"/>
      <w:lvlText w:val="%1.%2.%3.%4.%5.%6.%7"/>
      <w:lvlJc w:val="left"/>
      <w:pPr>
        <w:ind w:left="1800" w:hanging="1440"/>
      </w:pPr>
      <w:rPr>
        <w:rFonts w:hint="default"/>
      </w:rPr>
    </w:lvl>
    <w:lvl w:ilvl="7">
      <w:start w:val="1"/>
      <w:numFmt w:val="decimal"/>
      <w:lvlText w:val="%1.%2.%3.%4.%5.%6.%7.%8"/>
      <w:lvlJc w:val="left"/>
      <w:pPr>
        <w:ind w:left="1860" w:hanging="1440"/>
      </w:pPr>
      <w:rPr>
        <w:rFonts w:hint="default"/>
      </w:rPr>
    </w:lvl>
    <w:lvl w:ilvl="8">
      <w:start w:val="1"/>
      <w:numFmt w:val="decimal"/>
      <w:lvlText w:val="%1.%2.%3.%4.%5.%6.%7.%8.%9"/>
      <w:lvlJc w:val="left"/>
      <w:pPr>
        <w:ind w:left="2280" w:hanging="1800"/>
      </w:pPr>
      <w:rPr>
        <w:rFonts w:hint="default"/>
      </w:rPr>
    </w:lvl>
  </w:abstractNum>
  <w:abstractNum w:abstractNumId="43" w15:restartNumberingAfterBreak="0">
    <w:nsid w:val="79C604EE"/>
    <w:multiLevelType w:val="multilevel"/>
    <w:tmpl w:val="7D3250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7B426036"/>
    <w:multiLevelType w:val="hybridMultilevel"/>
    <w:tmpl w:val="AB7C48C8"/>
    <w:lvl w:ilvl="0" w:tplc="8DC67DC4">
      <w:start w:val="1"/>
      <w:numFmt w:val="lowerRoman"/>
      <w:lvlText w:val="%1)"/>
      <w:lvlJc w:val="left"/>
      <w:pPr>
        <w:ind w:left="7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C534CC4"/>
    <w:multiLevelType w:val="hybridMultilevel"/>
    <w:tmpl w:val="8892AA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825319516">
    <w:abstractNumId w:val="42"/>
  </w:num>
  <w:num w:numId="2" w16cid:durableId="1800830754">
    <w:abstractNumId w:val="5"/>
  </w:num>
  <w:num w:numId="3" w16cid:durableId="1453403425">
    <w:abstractNumId w:val="1"/>
  </w:num>
  <w:num w:numId="4" w16cid:durableId="2043046479">
    <w:abstractNumId w:val="31"/>
  </w:num>
  <w:num w:numId="5" w16cid:durableId="1092582967">
    <w:abstractNumId w:val="36"/>
  </w:num>
  <w:num w:numId="6" w16cid:durableId="1607813392">
    <w:abstractNumId w:val="17"/>
  </w:num>
  <w:num w:numId="7" w16cid:durableId="1815219327">
    <w:abstractNumId w:val="40"/>
  </w:num>
  <w:num w:numId="8" w16cid:durableId="16666013">
    <w:abstractNumId w:val="34"/>
  </w:num>
  <w:num w:numId="9" w16cid:durableId="1147094540">
    <w:abstractNumId w:val="14"/>
  </w:num>
  <w:num w:numId="10" w16cid:durableId="567883093">
    <w:abstractNumId w:val="19"/>
  </w:num>
  <w:num w:numId="11" w16cid:durableId="769155529">
    <w:abstractNumId w:val="32"/>
  </w:num>
  <w:num w:numId="12" w16cid:durableId="2095130086">
    <w:abstractNumId w:val="3"/>
  </w:num>
  <w:num w:numId="13" w16cid:durableId="350492795">
    <w:abstractNumId w:val="18"/>
  </w:num>
  <w:num w:numId="14" w16cid:durableId="654992990">
    <w:abstractNumId w:val="25"/>
  </w:num>
  <w:num w:numId="15" w16cid:durableId="1794254355">
    <w:abstractNumId w:val="29"/>
  </w:num>
  <w:num w:numId="16" w16cid:durableId="2054190955">
    <w:abstractNumId w:val="20"/>
  </w:num>
  <w:num w:numId="17" w16cid:durableId="1583683028">
    <w:abstractNumId w:val="22"/>
  </w:num>
  <w:num w:numId="18" w16cid:durableId="1050496329">
    <w:abstractNumId w:val="8"/>
  </w:num>
  <w:num w:numId="19" w16cid:durableId="1253196547">
    <w:abstractNumId w:val="45"/>
  </w:num>
  <w:num w:numId="20" w16cid:durableId="1790930271">
    <w:abstractNumId w:val="16"/>
  </w:num>
  <w:num w:numId="21" w16cid:durableId="555774167">
    <w:abstractNumId w:val="33"/>
  </w:num>
  <w:num w:numId="22" w16cid:durableId="753284979">
    <w:abstractNumId w:val="2"/>
  </w:num>
  <w:num w:numId="23" w16cid:durableId="1524244849">
    <w:abstractNumId w:val="7"/>
  </w:num>
  <w:num w:numId="24" w16cid:durableId="692077750">
    <w:abstractNumId w:val="28"/>
  </w:num>
  <w:num w:numId="25" w16cid:durableId="1435129127">
    <w:abstractNumId w:val="24"/>
  </w:num>
  <w:num w:numId="26" w16cid:durableId="220945618">
    <w:abstractNumId w:val="44"/>
  </w:num>
  <w:num w:numId="27" w16cid:durableId="1024861446">
    <w:abstractNumId w:val="11"/>
  </w:num>
  <w:num w:numId="28" w16cid:durableId="1760174475">
    <w:abstractNumId w:val="30"/>
  </w:num>
  <w:num w:numId="29" w16cid:durableId="1764564750">
    <w:abstractNumId w:val="9"/>
  </w:num>
  <w:num w:numId="30" w16cid:durableId="1073745265">
    <w:abstractNumId w:val="41"/>
  </w:num>
  <w:num w:numId="31" w16cid:durableId="731780330">
    <w:abstractNumId w:val="27"/>
  </w:num>
  <w:num w:numId="32" w16cid:durableId="693725837">
    <w:abstractNumId w:val="38"/>
  </w:num>
  <w:num w:numId="33" w16cid:durableId="194315483">
    <w:abstractNumId w:val="10"/>
  </w:num>
  <w:num w:numId="34" w16cid:durableId="646932387">
    <w:abstractNumId w:val="37"/>
  </w:num>
  <w:num w:numId="35" w16cid:durableId="1325426238">
    <w:abstractNumId w:val="39"/>
  </w:num>
  <w:num w:numId="36" w16cid:durableId="353583222">
    <w:abstractNumId w:val="26"/>
  </w:num>
  <w:num w:numId="37" w16cid:durableId="1110472291">
    <w:abstractNumId w:val="15"/>
  </w:num>
  <w:num w:numId="38" w16cid:durableId="1984505653">
    <w:abstractNumId w:val="21"/>
  </w:num>
  <w:num w:numId="39" w16cid:durableId="838886842">
    <w:abstractNumId w:val="23"/>
  </w:num>
  <w:num w:numId="40" w16cid:durableId="1122455112">
    <w:abstractNumId w:val="4"/>
  </w:num>
  <w:num w:numId="41" w16cid:durableId="1824076382">
    <w:abstractNumId w:val="43"/>
  </w:num>
  <w:num w:numId="42" w16cid:durableId="843396698">
    <w:abstractNumId w:val="35"/>
  </w:num>
  <w:num w:numId="43" w16cid:durableId="1630086337">
    <w:abstractNumId w:val="13"/>
  </w:num>
  <w:num w:numId="44" w16cid:durableId="372533954">
    <w:abstractNumId w:val="6"/>
  </w:num>
  <w:num w:numId="45" w16cid:durableId="1901398804">
    <w:abstractNumId w:val="0"/>
  </w:num>
  <w:num w:numId="46" w16cid:durableId="83599732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572C"/>
    <w:rsid w:val="00006E45"/>
    <w:rsid w:val="00012D5D"/>
    <w:rsid w:val="00035C6C"/>
    <w:rsid w:val="000A00DB"/>
    <w:rsid w:val="000D0D85"/>
    <w:rsid w:val="00113112"/>
    <w:rsid w:val="001252D7"/>
    <w:rsid w:val="00165C15"/>
    <w:rsid w:val="00176887"/>
    <w:rsid w:val="00183D8B"/>
    <w:rsid w:val="001A085A"/>
    <w:rsid w:val="001A36D8"/>
    <w:rsid w:val="001A7854"/>
    <w:rsid w:val="001E4C85"/>
    <w:rsid w:val="001F5574"/>
    <w:rsid w:val="002055C6"/>
    <w:rsid w:val="0023094A"/>
    <w:rsid w:val="002345B4"/>
    <w:rsid w:val="00243EB0"/>
    <w:rsid w:val="00247BA3"/>
    <w:rsid w:val="00247F22"/>
    <w:rsid w:val="002957F7"/>
    <w:rsid w:val="002A0DE3"/>
    <w:rsid w:val="002A4151"/>
    <w:rsid w:val="002A61AE"/>
    <w:rsid w:val="002D5C80"/>
    <w:rsid w:val="002E7020"/>
    <w:rsid w:val="002F25EF"/>
    <w:rsid w:val="00316215"/>
    <w:rsid w:val="003406CC"/>
    <w:rsid w:val="00350DC3"/>
    <w:rsid w:val="00350FE5"/>
    <w:rsid w:val="00353015"/>
    <w:rsid w:val="00380E78"/>
    <w:rsid w:val="003953D7"/>
    <w:rsid w:val="00396912"/>
    <w:rsid w:val="003A3C41"/>
    <w:rsid w:val="003A7328"/>
    <w:rsid w:val="003C2D79"/>
    <w:rsid w:val="00403E05"/>
    <w:rsid w:val="00411437"/>
    <w:rsid w:val="00423A7A"/>
    <w:rsid w:val="00426ADE"/>
    <w:rsid w:val="00465B73"/>
    <w:rsid w:val="00465DBD"/>
    <w:rsid w:val="00467142"/>
    <w:rsid w:val="004704F7"/>
    <w:rsid w:val="004A2370"/>
    <w:rsid w:val="004A40B4"/>
    <w:rsid w:val="004D4A5E"/>
    <w:rsid w:val="004D673D"/>
    <w:rsid w:val="005024D1"/>
    <w:rsid w:val="005029B8"/>
    <w:rsid w:val="005241BF"/>
    <w:rsid w:val="005405A6"/>
    <w:rsid w:val="0054374D"/>
    <w:rsid w:val="00573C8D"/>
    <w:rsid w:val="00585962"/>
    <w:rsid w:val="00585A62"/>
    <w:rsid w:val="00592ABB"/>
    <w:rsid w:val="005979F7"/>
    <w:rsid w:val="005A5237"/>
    <w:rsid w:val="005A642F"/>
    <w:rsid w:val="005B3C5C"/>
    <w:rsid w:val="005B737A"/>
    <w:rsid w:val="005F0E1E"/>
    <w:rsid w:val="0060256B"/>
    <w:rsid w:val="00613BB7"/>
    <w:rsid w:val="00621AEB"/>
    <w:rsid w:val="00626477"/>
    <w:rsid w:val="00630A22"/>
    <w:rsid w:val="00637914"/>
    <w:rsid w:val="00640760"/>
    <w:rsid w:val="0064112C"/>
    <w:rsid w:val="00651C4A"/>
    <w:rsid w:val="006533B2"/>
    <w:rsid w:val="00660D5E"/>
    <w:rsid w:val="00682B8D"/>
    <w:rsid w:val="00682CF0"/>
    <w:rsid w:val="00697166"/>
    <w:rsid w:val="006A79F4"/>
    <w:rsid w:val="006A7B95"/>
    <w:rsid w:val="006E572C"/>
    <w:rsid w:val="006F12A3"/>
    <w:rsid w:val="006F2391"/>
    <w:rsid w:val="006F7FDE"/>
    <w:rsid w:val="00771FEA"/>
    <w:rsid w:val="00772DEA"/>
    <w:rsid w:val="00792080"/>
    <w:rsid w:val="008016AB"/>
    <w:rsid w:val="008264AF"/>
    <w:rsid w:val="00830224"/>
    <w:rsid w:val="00832259"/>
    <w:rsid w:val="0086731F"/>
    <w:rsid w:val="00872A24"/>
    <w:rsid w:val="008B128C"/>
    <w:rsid w:val="008B3DC0"/>
    <w:rsid w:val="008D2C2C"/>
    <w:rsid w:val="008E4A7B"/>
    <w:rsid w:val="00915427"/>
    <w:rsid w:val="00943190"/>
    <w:rsid w:val="0095081B"/>
    <w:rsid w:val="009638B9"/>
    <w:rsid w:val="00963E5E"/>
    <w:rsid w:val="0097602A"/>
    <w:rsid w:val="009A38F3"/>
    <w:rsid w:val="009B0541"/>
    <w:rsid w:val="009B4300"/>
    <w:rsid w:val="009D1C06"/>
    <w:rsid w:val="009D3DBE"/>
    <w:rsid w:val="009F4DAF"/>
    <w:rsid w:val="00A16BC6"/>
    <w:rsid w:val="00A316A5"/>
    <w:rsid w:val="00A32512"/>
    <w:rsid w:val="00A40219"/>
    <w:rsid w:val="00A561B0"/>
    <w:rsid w:val="00AB011D"/>
    <w:rsid w:val="00AB7A5E"/>
    <w:rsid w:val="00AB7DB0"/>
    <w:rsid w:val="00AC2B6C"/>
    <w:rsid w:val="00AC5E85"/>
    <w:rsid w:val="00AF3391"/>
    <w:rsid w:val="00B2141A"/>
    <w:rsid w:val="00B6239A"/>
    <w:rsid w:val="00B62FAE"/>
    <w:rsid w:val="00B66A42"/>
    <w:rsid w:val="00B7216C"/>
    <w:rsid w:val="00B90EB6"/>
    <w:rsid w:val="00B947E4"/>
    <w:rsid w:val="00BA5C8E"/>
    <w:rsid w:val="00BC02D1"/>
    <w:rsid w:val="00BD6722"/>
    <w:rsid w:val="00C132F8"/>
    <w:rsid w:val="00C316BE"/>
    <w:rsid w:val="00C71871"/>
    <w:rsid w:val="00C72F9A"/>
    <w:rsid w:val="00C7382D"/>
    <w:rsid w:val="00C8111D"/>
    <w:rsid w:val="00C92F67"/>
    <w:rsid w:val="00CF53E0"/>
    <w:rsid w:val="00D06137"/>
    <w:rsid w:val="00D275B1"/>
    <w:rsid w:val="00D51479"/>
    <w:rsid w:val="00D64ABC"/>
    <w:rsid w:val="00D870C1"/>
    <w:rsid w:val="00D93826"/>
    <w:rsid w:val="00D95DA9"/>
    <w:rsid w:val="00D9750D"/>
    <w:rsid w:val="00DD1ACF"/>
    <w:rsid w:val="00DE4711"/>
    <w:rsid w:val="00E342A4"/>
    <w:rsid w:val="00E43DD3"/>
    <w:rsid w:val="00E75EF1"/>
    <w:rsid w:val="00E90D17"/>
    <w:rsid w:val="00E94002"/>
    <w:rsid w:val="00E94C95"/>
    <w:rsid w:val="00EB3001"/>
    <w:rsid w:val="00EB6E0A"/>
    <w:rsid w:val="00EC73E0"/>
    <w:rsid w:val="00EE4D32"/>
    <w:rsid w:val="00EE5BEC"/>
    <w:rsid w:val="00F04A08"/>
    <w:rsid w:val="00F11EFB"/>
    <w:rsid w:val="00F31428"/>
    <w:rsid w:val="00F42748"/>
    <w:rsid w:val="00F63318"/>
    <w:rsid w:val="00F744D7"/>
    <w:rsid w:val="00FB2789"/>
    <w:rsid w:val="00FB30D5"/>
    <w:rsid w:val="00FF1F35"/>
  </w:rsids>
  <m:mathPr>
    <m:mathFont m:val="Cambria Math"/>
    <m:brkBin m:val="before"/>
    <m:brkBinSub m:val="--"/>
    <m:smallFrac m:val="0"/>
    <m:dispDef/>
    <m:lMargin m:val="0"/>
    <m:rMargin m:val="0"/>
    <m:defJc m:val="centerGroup"/>
    <m:wrapIndent m:val="1440"/>
    <m:intLim m:val="subSup"/>
    <m:naryLim m:val="undOvr"/>
  </m:mathPr>
  <w:themeFontLang w:val="en-US" w:bidi="b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6E09F4"/>
  <w15:chartTrackingRefBased/>
  <w15:docId w15:val="{E5179DDB-4C2E-4FD2-99FE-A4469376FC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color w:val="000000" w:themeColor="text1"/>
        <w:sz w:val="24"/>
        <w:szCs w:val="24"/>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F7FDE"/>
    <w:pPr>
      <w:keepNext/>
      <w:keepLines/>
      <w:spacing w:before="240" w:after="0"/>
      <w:outlineLvl w:val="0"/>
    </w:pPr>
    <w:rPr>
      <w:rFonts w:asciiTheme="majorHAnsi" w:eastAsiaTheme="majorEastAsia" w:hAnsiTheme="majorHAnsi" w:cstheme="majorBidi"/>
      <w:color w:val="2F5496" w:themeColor="accent1" w:themeShade="BF"/>
      <w:kern w:val="2"/>
      <w:sz w:val="32"/>
      <w:szCs w:val="32"/>
      <w14:ligatures w14:val="standardContextual"/>
    </w:rPr>
  </w:style>
  <w:style w:type="paragraph" w:styleId="Heading2">
    <w:name w:val="heading 2"/>
    <w:basedOn w:val="Normal"/>
    <w:next w:val="Normal"/>
    <w:link w:val="Heading2Char"/>
    <w:uiPriority w:val="9"/>
    <w:semiHidden/>
    <w:unhideWhenUsed/>
    <w:qFormat/>
    <w:rsid w:val="006F239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uiPriority w:val="20"/>
    <w:qFormat/>
    <w:rsid w:val="006E572C"/>
    <w:rPr>
      <w:i/>
      <w:iCs/>
    </w:rPr>
  </w:style>
  <w:style w:type="paragraph" w:customStyle="1" w:styleId="Default">
    <w:name w:val="Default"/>
    <w:rsid w:val="006E572C"/>
    <w:pPr>
      <w:autoSpaceDE w:val="0"/>
      <w:autoSpaceDN w:val="0"/>
      <w:adjustRightInd w:val="0"/>
      <w:spacing w:after="0" w:line="240" w:lineRule="auto"/>
    </w:pPr>
    <w:rPr>
      <w:rFonts w:eastAsia="Calibri"/>
      <w:color w:val="000000"/>
    </w:rPr>
  </w:style>
  <w:style w:type="paragraph" w:styleId="NormalWeb">
    <w:name w:val="Normal (Web)"/>
    <w:basedOn w:val="Normal"/>
    <w:uiPriority w:val="99"/>
    <w:unhideWhenUsed/>
    <w:rsid w:val="006E572C"/>
    <w:pPr>
      <w:spacing w:before="100" w:beforeAutospacing="1" w:after="100" w:afterAutospacing="1" w:line="240" w:lineRule="auto"/>
    </w:pPr>
    <w:rPr>
      <w:rFonts w:eastAsia="Calibri"/>
    </w:rPr>
  </w:style>
  <w:style w:type="character" w:styleId="Strong">
    <w:name w:val="Strong"/>
    <w:uiPriority w:val="22"/>
    <w:qFormat/>
    <w:rsid w:val="006E572C"/>
    <w:rPr>
      <w:b/>
      <w:bCs/>
    </w:rPr>
  </w:style>
  <w:style w:type="paragraph" w:styleId="CommentText">
    <w:name w:val="annotation text"/>
    <w:basedOn w:val="Normal"/>
    <w:link w:val="CommentTextChar"/>
    <w:uiPriority w:val="99"/>
    <w:unhideWhenUsed/>
    <w:rsid w:val="006E572C"/>
    <w:pPr>
      <w:spacing w:after="200" w:line="276" w:lineRule="auto"/>
      <w:jc w:val="both"/>
    </w:pPr>
    <w:rPr>
      <w:rFonts w:eastAsia="Calibri"/>
      <w:sz w:val="20"/>
      <w:szCs w:val="20"/>
    </w:rPr>
  </w:style>
  <w:style w:type="character" w:customStyle="1" w:styleId="CommentTextChar">
    <w:name w:val="Comment Text Char"/>
    <w:basedOn w:val="DefaultParagraphFont"/>
    <w:link w:val="CommentText"/>
    <w:uiPriority w:val="99"/>
    <w:rsid w:val="006E572C"/>
    <w:rPr>
      <w:rFonts w:eastAsia="Calibri"/>
      <w:sz w:val="20"/>
      <w:szCs w:val="20"/>
    </w:rPr>
  </w:style>
  <w:style w:type="table" w:styleId="TableGrid">
    <w:name w:val="Table Grid"/>
    <w:basedOn w:val="TableNormal"/>
    <w:uiPriority w:val="39"/>
    <w:rsid w:val="006E572C"/>
    <w:pPr>
      <w:spacing w:after="0" w:line="240" w:lineRule="auto"/>
    </w:pPr>
    <w:rPr>
      <w:rFonts w:eastAsia="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1Char">
    <w:name w:val="Heading 1 Char"/>
    <w:basedOn w:val="DefaultParagraphFont"/>
    <w:link w:val="Heading1"/>
    <w:uiPriority w:val="9"/>
    <w:rsid w:val="006F7FDE"/>
    <w:rPr>
      <w:rFonts w:asciiTheme="majorHAnsi" w:eastAsiaTheme="majorEastAsia" w:hAnsiTheme="majorHAnsi" w:cstheme="majorBidi"/>
      <w:color w:val="2F5496" w:themeColor="accent1" w:themeShade="BF"/>
      <w:kern w:val="2"/>
      <w:sz w:val="32"/>
      <w:szCs w:val="32"/>
      <w14:ligatures w14:val="standardContextual"/>
    </w:rPr>
  </w:style>
  <w:style w:type="character" w:styleId="Hyperlink">
    <w:name w:val="Hyperlink"/>
    <w:uiPriority w:val="99"/>
    <w:unhideWhenUsed/>
    <w:rsid w:val="006F7FDE"/>
    <w:rPr>
      <w:color w:val="0000FF"/>
      <w:u w:val="single"/>
    </w:rPr>
  </w:style>
  <w:style w:type="paragraph" w:styleId="ListParagraph">
    <w:name w:val="List Paragraph"/>
    <w:basedOn w:val="Normal"/>
    <w:uiPriority w:val="34"/>
    <w:qFormat/>
    <w:rsid w:val="006F7FDE"/>
    <w:pPr>
      <w:spacing w:after="200" w:line="276" w:lineRule="auto"/>
      <w:ind w:left="720"/>
      <w:contextualSpacing/>
    </w:pPr>
    <w:rPr>
      <w:rFonts w:eastAsia="Calibri"/>
    </w:rPr>
  </w:style>
  <w:style w:type="paragraph" w:styleId="BalloonText">
    <w:name w:val="Balloon Text"/>
    <w:basedOn w:val="Normal"/>
    <w:link w:val="BalloonTextChar"/>
    <w:uiPriority w:val="99"/>
    <w:semiHidden/>
    <w:unhideWhenUsed/>
    <w:rsid w:val="006F7FDE"/>
    <w:pPr>
      <w:spacing w:after="0" w:line="240" w:lineRule="auto"/>
    </w:pPr>
    <w:rPr>
      <w:rFonts w:ascii="Tahoma" w:eastAsia="Calibri" w:hAnsi="Tahoma" w:cs="Tahoma"/>
      <w:sz w:val="16"/>
      <w:szCs w:val="16"/>
    </w:rPr>
  </w:style>
  <w:style w:type="character" w:customStyle="1" w:styleId="BalloonTextChar">
    <w:name w:val="Balloon Text Char"/>
    <w:basedOn w:val="DefaultParagraphFont"/>
    <w:link w:val="BalloonText"/>
    <w:uiPriority w:val="99"/>
    <w:semiHidden/>
    <w:rsid w:val="006F7FDE"/>
    <w:rPr>
      <w:rFonts w:ascii="Tahoma" w:eastAsia="Calibri" w:hAnsi="Tahoma" w:cs="Tahoma"/>
      <w:sz w:val="16"/>
      <w:szCs w:val="16"/>
    </w:rPr>
  </w:style>
  <w:style w:type="paragraph" w:styleId="Header">
    <w:name w:val="header"/>
    <w:basedOn w:val="Normal"/>
    <w:link w:val="HeaderChar"/>
    <w:uiPriority w:val="99"/>
    <w:unhideWhenUsed/>
    <w:rsid w:val="006F7FDE"/>
    <w:pPr>
      <w:tabs>
        <w:tab w:val="center" w:pos="4680"/>
        <w:tab w:val="right" w:pos="9360"/>
      </w:tabs>
      <w:spacing w:after="0" w:line="240" w:lineRule="auto"/>
    </w:pPr>
    <w:rPr>
      <w:rFonts w:eastAsia="Calibri"/>
    </w:rPr>
  </w:style>
  <w:style w:type="character" w:customStyle="1" w:styleId="HeaderChar">
    <w:name w:val="Header Char"/>
    <w:basedOn w:val="DefaultParagraphFont"/>
    <w:link w:val="Header"/>
    <w:uiPriority w:val="99"/>
    <w:rsid w:val="006F7FDE"/>
    <w:rPr>
      <w:rFonts w:eastAsia="Calibri"/>
    </w:rPr>
  </w:style>
  <w:style w:type="paragraph" w:styleId="Footer">
    <w:name w:val="footer"/>
    <w:basedOn w:val="Normal"/>
    <w:link w:val="FooterChar"/>
    <w:uiPriority w:val="99"/>
    <w:unhideWhenUsed/>
    <w:rsid w:val="006F7FDE"/>
    <w:pPr>
      <w:tabs>
        <w:tab w:val="center" w:pos="4680"/>
        <w:tab w:val="right" w:pos="9360"/>
      </w:tabs>
      <w:spacing w:after="0" w:line="240" w:lineRule="auto"/>
    </w:pPr>
    <w:rPr>
      <w:rFonts w:eastAsia="Calibri"/>
    </w:rPr>
  </w:style>
  <w:style w:type="character" w:customStyle="1" w:styleId="FooterChar">
    <w:name w:val="Footer Char"/>
    <w:basedOn w:val="DefaultParagraphFont"/>
    <w:link w:val="Footer"/>
    <w:uiPriority w:val="99"/>
    <w:rsid w:val="006F7FDE"/>
    <w:rPr>
      <w:rFonts w:eastAsia="Calibri"/>
    </w:rPr>
  </w:style>
  <w:style w:type="paragraph" w:styleId="Subtitle">
    <w:name w:val="Subtitle"/>
    <w:basedOn w:val="Normal"/>
    <w:next w:val="Normal"/>
    <w:link w:val="SubtitleChar"/>
    <w:uiPriority w:val="11"/>
    <w:qFormat/>
    <w:rsid w:val="006F7FDE"/>
    <w:pPr>
      <w:numPr>
        <w:ilvl w:val="1"/>
      </w:numPr>
      <w:spacing w:after="200" w:line="276" w:lineRule="auto"/>
    </w:pPr>
    <w:rPr>
      <w:rFonts w:ascii="Cambria" w:eastAsia="Calibri" w:hAnsi="Cambria"/>
      <w:i/>
      <w:iCs/>
      <w:color w:val="4F81BD"/>
      <w:spacing w:val="15"/>
    </w:rPr>
  </w:style>
  <w:style w:type="character" w:customStyle="1" w:styleId="SubtitleChar">
    <w:name w:val="Subtitle Char"/>
    <w:basedOn w:val="DefaultParagraphFont"/>
    <w:link w:val="Subtitle"/>
    <w:uiPriority w:val="11"/>
    <w:rsid w:val="006F7FDE"/>
    <w:rPr>
      <w:rFonts w:ascii="Cambria" w:eastAsia="Calibri" w:hAnsi="Cambria"/>
      <w:i/>
      <w:iCs/>
      <w:color w:val="4F81BD"/>
      <w:spacing w:val="15"/>
    </w:rPr>
  </w:style>
  <w:style w:type="paragraph" w:styleId="Caption">
    <w:name w:val="caption"/>
    <w:basedOn w:val="Normal"/>
    <w:next w:val="Normal"/>
    <w:uiPriority w:val="35"/>
    <w:unhideWhenUsed/>
    <w:qFormat/>
    <w:rsid w:val="006F7FDE"/>
    <w:pPr>
      <w:spacing w:after="200" w:line="276" w:lineRule="auto"/>
    </w:pPr>
    <w:rPr>
      <w:rFonts w:eastAsia="Calibri"/>
      <w:b/>
      <w:bCs/>
      <w:sz w:val="20"/>
      <w:szCs w:val="20"/>
    </w:rPr>
  </w:style>
  <w:style w:type="character" w:styleId="FollowedHyperlink">
    <w:name w:val="FollowedHyperlink"/>
    <w:uiPriority w:val="99"/>
    <w:semiHidden/>
    <w:unhideWhenUsed/>
    <w:rsid w:val="006F7FDE"/>
    <w:rPr>
      <w:color w:val="800080"/>
      <w:u w:val="single"/>
    </w:rPr>
  </w:style>
  <w:style w:type="paragraph" w:customStyle="1" w:styleId="ChapterNumber">
    <w:name w:val="ChapterNumber"/>
    <w:basedOn w:val="Normal"/>
    <w:next w:val="Normal"/>
    <w:rsid w:val="006F7FDE"/>
    <w:pPr>
      <w:spacing w:after="360" w:line="240" w:lineRule="auto"/>
    </w:pPr>
    <w:rPr>
      <w:rFonts w:eastAsia="Calibri"/>
      <w:szCs w:val="20"/>
    </w:rPr>
  </w:style>
  <w:style w:type="character" w:customStyle="1" w:styleId="definition-url">
    <w:name w:val="definition-url"/>
    <w:basedOn w:val="DefaultParagraphFont"/>
    <w:rsid w:val="006F7FDE"/>
  </w:style>
  <w:style w:type="paragraph" w:styleId="z-TopofForm">
    <w:name w:val="HTML Top of Form"/>
    <w:basedOn w:val="Normal"/>
    <w:next w:val="Normal"/>
    <w:link w:val="z-TopofFormChar"/>
    <w:hidden/>
    <w:uiPriority w:val="99"/>
    <w:semiHidden/>
    <w:unhideWhenUsed/>
    <w:rsid w:val="006F7FDE"/>
    <w:pPr>
      <w:pBdr>
        <w:bottom w:val="single" w:sz="6" w:space="1" w:color="auto"/>
      </w:pBdr>
      <w:spacing w:after="0" w:line="240" w:lineRule="auto"/>
      <w:jc w:val="center"/>
    </w:pPr>
    <w:rPr>
      <w:rFonts w:ascii="Arial" w:eastAsia="Calibri" w:hAnsi="Arial" w:cs="Arial"/>
      <w:vanish/>
      <w:sz w:val="16"/>
      <w:szCs w:val="16"/>
    </w:rPr>
  </w:style>
  <w:style w:type="character" w:customStyle="1" w:styleId="z-TopofFormChar">
    <w:name w:val="z-Top of Form Char"/>
    <w:basedOn w:val="DefaultParagraphFont"/>
    <w:link w:val="z-TopofForm"/>
    <w:uiPriority w:val="99"/>
    <w:semiHidden/>
    <w:rsid w:val="006F7FDE"/>
    <w:rPr>
      <w:rFonts w:ascii="Arial" w:eastAsia="Calibri" w:hAnsi="Arial" w:cs="Arial"/>
      <w:vanish/>
      <w:sz w:val="16"/>
      <w:szCs w:val="16"/>
    </w:rPr>
  </w:style>
  <w:style w:type="character" w:styleId="CommentReference">
    <w:name w:val="annotation reference"/>
    <w:basedOn w:val="DefaultParagraphFont"/>
    <w:uiPriority w:val="99"/>
    <w:semiHidden/>
    <w:unhideWhenUsed/>
    <w:rsid w:val="006F7FDE"/>
    <w:rPr>
      <w:sz w:val="16"/>
      <w:szCs w:val="16"/>
    </w:rPr>
  </w:style>
  <w:style w:type="paragraph" w:styleId="CommentSubject">
    <w:name w:val="annotation subject"/>
    <w:basedOn w:val="CommentText"/>
    <w:next w:val="CommentText"/>
    <w:link w:val="CommentSubjectChar"/>
    <w:uiPriority w:val="99"/>
    <w:semiHidden/>
    <w:unhideWhenUsed/>
    <w:rsid w:val="006F7FDE"/>
    <w:pPr>
      <w:spacing w:line="240" w:lineRule="auto"/>
      <w:jc w:val="left"/>
    </w:pPr>
    <w:rPr>
      <w:b/>
      <w:bCs/>
    </w:rPr>
  </w:style>
  <w:style w:type="character" w:customStyle="1" w:styleId="CommentSubjectChar">
    <w:name w:val="Comment Subject Char"/>
    <w:basedOn w:val="CommentTextChar"/>
    <w:link w:val="CommentSubject"/>
    <w:uiPriority w:val="99"/>
    <w:semiHidden/>
    <w:rsid w:val="006F7FDE"/>
    <w:rPr>
      <w:rFonts w:eastAsia="Calibri"/>
      <w:b/>
      <w:bCs/>
      <w:sz w:val="20"/>
      <w:szCs w:val="20"/>
    </w:rPr>
  </w:style>
  <w:style w:type="paragraph" w:customStyle="1" w:styleId="rtejustify">
    <w:name w:val="rtejustify"/>
    <w:basedOn w:val="Normal"/>
    <w:rsid w:val="006F7FDE"/>
    <w:pPr>
      <w:spacing w:before="100" w:beforeAutospacing="1" w:after="100" w:afterAutospacing="1" w:line="240" w:lineRule="auto"/>
    </w:pPr>
    <w:rPr>
      <w:rFonts w:eastAsia="Times New Roman"/>
      <w:color w:val="auto"/>
    </w:rPr>
  </w:style>
  <w:style w:type="paragraph" w:styleId="Bibliography">
    <w:name w:val="Bibliography"/>
    <w:basedOn w:val="Normal"/>
    <w:next w:val="Normal"/>
    <w:uiPriority w:val="37"/>
    <w:unhideWhenUsed/>
    <w:rsid w:val="00630A22"/>
  </w:style>
  <w:style w:type="character" w:customStyle="1" w:styleId="label">
    <w:name w:val="label"/>
    <w:basedOn w:val="DefaultParagraphFont"/>
    <w:rsid w:val="00CF53E0"/>
  </w:style>
  <w:style w:type="character" w:customStyle="1" w:styleId="value">
    <w:name w:val="value"/>
    <w:basedOn w:val="DefaultParagraphFont"/>
    <w:rsid w:val="00CF53E0"/>
  </w:style>
  <w:style w:type="character" w:customStyle="1" w:styleId="Heading2Char">
    <w:name w:val="Heading 2 Char"/>
    <w:basedOn w:val="DefaultParagraphFont"/>
    <w:link w:val="Heading2"/>
    <w:uiPriority w:val="9"/>
    <w:semiHidden/>
    <w:rsid w:val="006F2391"/>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46088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2.xml"/><Relationship Id="rId13" Type="http://schemas.openxmlformats.org/officeDocument/2006/relationships/hyperlink" Target="https://doi.org/10.46281/ijafr.v9i1.1447" TargetMode="External"/><Relationship Id="rId3" Type="http://schemas.openxmlformats.org/officeDocument/2006/relationships/settings" Target="settings.xml"/><Relationship Id="rId7" Type="http://schemas.openxmlformats.org/officeDocument/2006/relationships/chart" Target="charts/chart1.xml"/><Relationship Id="rId12" Type="http://schemas.openxmlformats.org/officeDocument/2006/relationships/hyperlink" Target="https://doi.org/10.52805/bjit.v17i2.243"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hart" Target="charts/chart5.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chart" Target="charts/chart4.xml"/><Relationship Id="rId4" Type="http://schemas.openxmlformats.org/officeDocument/2006/relationships/webSettings" Target="webSettings.xml"/><Relationship Id="rId9" Type="http://schemas.openxmlformats.org/officeDocument/2006/relationships/chart" Target="charts/chart3.xml"/><Relationship Id="rId14" Type="http://schemas.openxmlformats.org/officeDocument/2006/relationships/footer" Target="footer1.xml"/></Relationships>
</file>

<file path=word/charts/_rels/chart1.xml.rels><?xml version="1.0" encoding="UTF-8" standalone="yes"?>
<Relationships xmlns="http://schemas.openxmlformats.org/package/2006/relationships"><Relationship Id="rId3" Type="http://schemas.openxmlformats.org/officeDocument/2006/relationships/oleObject" Target="file:///C:\Users\Md.Ashraful%20Alam\Downloads\OneDrive\Desktop\AA%20IES\Data%20input%20Structure.xlsx"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file:///D:\MPHIL%20Work\Data%20input%201%20-%20Copy.xlsx" TargetMode="External"/><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oleObject" Target="file:///D:\MPHIL%20Work\Data%20input%201%20-%20Copy.xlsx" TargetMode="External"/><Relationship Id="rId2" Type="http://schemas.microsoft.com/office/2011/relationships/chartColorStyle" Target="colors3.xml"/><Relationship Id="rId1" Type="http://schemas.microsoft.com/office/2011/relationships/chartStyle" Target="style3.xml"/></Relationships>
</file>

<file path=word/charts/_rels/chart4.xml.rels><?xml version="1.0" encoding="UTF-8" standalone="yes"?>
<Relationships xmlns="http://schemas.openxmlformats.org/package/2006/relationships"><Relationship Id="rId3" Type="http://schemas.openxmlformats.org/officeDocument/2006/relationships/oleObject" Target="file:///D:\MPHIL%20Work\Data%20input%201%20-%20Copy.xlsx" TargetMode="External"/><Relationship Id="rId2" Type="http://schemas.microsoft.com/office/2011/relationships/chartColorStyle" Target="colors4.xml"/><Relationship Id="rId1" Type="http://schemas.microsoft.com/office/2011/relationships/chartStyle" Target="style4.xml"/></Relationships>
</file>

<file path=word/charts/_rels/chart5.xml.rels><?xml version="1.0" encoding="UTF-8" standalone="yes"?>
<Relationships xmlns="http://schemas.openxmlformats.org/package/2006/relationships"><Relationship Id="rId3" Type="http://schemas.openxmlformats.org/officeDocument/2006/relationships/oleObject" Target="file:///D:\MPHIL%20Work\Data%20input%201%20-%20Copy.xlsx" TargetMode="External"/><Relationship Id="rId2" Type="http://schemas.microsoft.com/office/2011/relationships/chartColorStyle" Target="colors5.xml"/><Relationship Id="rId1" Type="http://schemas.microsoft.com/office/2011/relationships/chartStyle" Target="style5.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GB"/>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800" b="1" i="0" u="none" strike="noStrike" kern="1200" cap="all" spc="50" baseline="0">
                <a:solidFill>
                  <a:schemeClr val="tx1">
                    <a:lumMod val="65000"/>
                    <a:lumOff val="35000"/>
                  </a:schemeClr>
                </a:solidFill>
                <a:latin typeface="+mn-lt"/>
                <a:ea typeface="+mn-ea"/>
                <a:cs typeface="+mn-cs"/>
              </a:defRPr>
            </a:pPr>
            <a:r>
              <a:rPr lang="en-US" sz="1200"/>
              <a:t>Category wise Green Products</a:t>
            </a:r>
          </a:p>
        </c:rich>
      </c:tx>
      <c:overlay val="0"/>
      <c:spPr>
        <a:noFill/>
        <a:ln>
          <a:noFill/>
        </a:ln>
        <a:effectLst/>
      </c:spPr>
      <c:txPr>
        <a:bodyPr rot="0" spcFirstLastPara="1" vertOverflow="ellipsis" vert="horz" wrap="square" anchor="ctr" anchorCtr="1"/>
        <a:lstStyle/>
        <a:p>
          <a:pPr>
            <a:defRPr sz="1800" b="1" i="0" u="none" strike="noStrike" kern="1200" cap="all" spc="50" baseline="0">
              <a:solidFill>
                <a:schemeClr val="tx1">
                  <a:lumMod val="65000"/>
                  <a:lumOff val="35000"/>
                </a:schemeClr>
              </a:solidFill>
              <a:latin typeface="+mn-lt"/>
              <a:ea typeface="+mn-ea"/>
              <a:cs typeface="+mn-cs"/>
            </a:defRPr>
          </a:pPr>
          <a:endParaRPr lang="en-BD"/>
        </a:p>
      </c:txPr>
    </c:title>
    <c:autoTitleDeleted val="0"/>
    <c:plotArea>
      <c:layout/>
      <c:barChart>
        <c:barDir val="bar"/>
        <c:grouping val="clustered"/>
        <c:varyColors val="0"/>
        <c:ser>
          <c:idx val="0"/>
          <c:order val="0"/>
          <c:tx>
            <c:strRef>
              <c:f>Sheet8!$B$23</c:f>
              <c:strCache>
                <c:ptCount val="1"/>
              </c:strCache>
            </c:strRef>
          </c:tx>
          <c:spPr>
            <a:gradFill flip="none" rotWithShape="1">
              <a:gsLst>
                <a:gs pos="0">
                  <a:schemeClr val="accent1"/>
                </a:gs>
                <a:gs pos="75000">
                  <a:schemeClr val="accent1">
                    <a:lumMod val="60000"/>
                    <a:lumOff val="40000"/>
                  </a:schemeClr>
                </a:gs>
                <a:gs pos="51000">
                  <a:schemeClr val="accent1">
                    <a:alpha val="75000"/>
                  </a:schemeClr>
                </a:gs>
                <a:gs pos="100000">
                  <a:schemeClr val="accent1">
                    <a:lumMod val="20000"/>
                    <a:lumOff val="80000"/>
                    <a:alpha val="15000"/>
                  </a:schemeClr>
                </a:gs>
              </a:gsLst>
              <a:lin ang="10800000" scaled="1"/>
              <a:tileRect/>
            </a:gra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BD"/>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Sheet8!$A$24:$A$37</c:f>
              <c:strCache>
                <c:ptCount val="14"/>
                <c:pt idx="0">
                  <c:v>Vermicompost</c:v>
                </c:pt>
                <c:pt idx="1">
                  <c:v>Solar Mini grid</c:v>
                </c:pt>
                <c:pt idx="2">
                  <c:v>Paper Waste Recy</c:v>
                </c:pt>
                <c:pt idx="3">
                  <c:v>Soar Irrigation Pump</c:v>
                </c:pt>
                <c:pt idx="4">
                  <c:v>Safe Workng Plant</c:v>
                </c:pt>
                <c:pt idx="5">
                  <c:v> (SHS)</c:v>
                </c:pt>
                <c:pt idx="6">
                  <c:v>Solar Assembly Plant</c:v>
                </c:pt>
                <c:pt idx="7">
                  <c:v>Safe Workng Env.</c:v>
                </c:pt>
                <c:pt idx="8">
                  <c:v>Energy Efficient </c:v>
                </c:pt>
                <c:pt idx="9">
                  <c:v>Bio Gas</c:v>
                </c:pt>
                <c:pt idx="10">
                  <c:v>HHK </c:v>
                </c:pt>
                <c:pt idx="11">
                  <c:v>Green Building</c:v>
                </c:pt>
                <c:pt idx="12">
                  <c:v>ETP</c:v>
                </c:pt>
                <c:pt idx="13">
                  <c:v>Green Industry</c:v>
                </c:pt>
              </c:strCache>
            </c:strRef>
          </c:cat>
          <c:val>
            <c:numRef>
              <c:f>Sheet8!$B$24:$B$37</c:f>
              <c:numCache>
                <c:formatCode>General</c:formatCode>
                <c:ptCount val="14"/>
                <c:pt idx="0">
                  <c:v>12.26</c:v>
                </c:pt>
                <c:pt idx="1">
                  <c:v>37.5</c:v>
                </c:pt>
                <c:pt idx="2">
                  <c:v>42.5</c:v>
                </c:pt>
                <c:pt idx="3">
                  <c:v>45</c:v>
                </c:pt>
                <c:pt idx="4">
                  <c:v>265.39999999999998</c:v>
                </c:pt>
                <c:pt idx="5">
                  <c:v>316.41000000000003</c:v>
                </c:pt>
                <c:pt idx="6">
                  <c:v>320.39999999999998</c:v>
                </c:pt>
                <c:pt idx="7">
                  <c:v>353.04</c:v>
                </c:pt>
                <c:pt idx="8">
                  <c:v>353.15</c:v>
                </c:pt>
                <c:pt idx="9">
                  <c:v>565.78</c:v>
                </c:pt>
                <c:pt idx="10">
                  <c:v>778.5</c:v>
                </c:pt>
                <c:pt idx="11">
                  <c:v>833.59</c:v>
                </c:pt>
                <c:pt idx="12">
                  <c:v>886.14</c:v>
                </c:pt>
                <c:pt idx="13">
                  <c:v>2244.37</c:v>
                </c:pt>
              </c:numCache>
            </c:numRef>
          </c:val>
          <c:extLst>
            <c:ext xmlns:c16="http://schemas.microsoft.com/office/drawing/2014/chart" uri="{C3380CC4-5D6E-409C-BE32-E72D297353CC}">
              <c16:uniqueId val="{00000000-FA7C-48E4-940B-425816C81057}"/>
            </c:ext>
          </c:extLst>
        </c:ser>
        <c:ser>
          <c:idx val="1"/>
          <c:order val="1"/>
          <c:tx>
            <c:strRef>
              <c:f>Sheet8!$C$23</c:f>
              <c:strCache>
                <c:ptCount val="1"/>
                <c:pt idx="0">
                  <c:v>Sec.-wise</c:v>
                </c:pt>
              </c:strCache>
            </c:strRef>
          </c:tx>
          <c:spPr>
            <a:gradFill flip="none" rotWithShape="1">
              <a:gsLst>
                <a:gs pos="0">
                  <a:schemeClr val="accent2"/>
                </a:gs>
                <a:gs pos="75000">
                  <a:schemeClr val="accent2">
                    <a:lumMod val="60000"/>
                    <a:lumOff val="40000"/>
                  </a:schemeClr>
                </a:gs>
                <a:gs pos="51000">
                  <a:schemeClr val="accent2">
                    <a:alpha val="75000"/>
                  </a:schemeClr>
                </a:gs>
                <a:gs pos="100000">
                  <a:schemeClr val="accent2">
                    <a:lumMod val="20000"/>
                    <a:lumOff val="80000"/>
                    <a:alpha val="15000"/>
                  </a:schemeClr>
                </a:gs>
              </a:gsLst>
              <a:lin ang="10800000" scaled="1"/>
              <a:tileRect/>
            </a:gra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BD"/>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Sheet8!$A$24:$A$37</c:f>
              <c:strCache>
                <c:ptCount val="14"/>
                <c:pt idx="0">
                  <c:v>Vermicompost</c:v>
                </c:pt>
                <c:pt idx="1">
                  <c:v>Solar Mini grid</c:v>
                </c:pt>
                <c:pt idx="2">
                  <c:v>Paper Waste Recy</c:v>
                </c:pt>
                <c:pt idx="3">
                  <c:v>Soar Irrigation Pump</c:v>
                </c:pt>
                <c:pt idx="4">
                  <c:v>Safe Workng Plant</c:v>
                </c:pt>
                <c:pt idx="5">
                  <c:v> (SHS)</c:v>
                </c:pt>
                <c:pt idx="6">
                  <c:v>Solar Assembly Plant</c:v>
                </c:pt>
                <c:pt idx="7">
                  <c:v>Safe Workng Env.</c:v>
                </c:pt>
                <c:pt idx="8">
                  <c:v>Energy Efficient </c:v>
                </c:pt>
                <c:pt idx="9">
                  <c:v>Bio Gas</c:v>
                </c:pt>
                <c:pt idx="10">
                  <c:v>HHK </c:v>
                </c:pt>
                <c:pt idx="11">
                  <c:v>Green Building</c:v>
                </c:pt>
                <c:pt idx="12">
                  <c:v>ETP</c:v>
                </c:pt>
                <c:pt idx="13">
                  <c:v>Green Industry</c:v>
                </c:pt>
              </c:strCache>
            </c:strRef>
          </c:cat>
          <c:val>
            <c:numRef>
              <c:f>Sheet8!$C$24:$C$37</c:f>
              <c:numCache>
                <c:formatCode>0.00%</c:formatCode>
                <c:ptCount val="14"/>
                <c:pt idx="0">
                  <c:v>1.6000000000000001E-3</c:v>
                </c:pt>
                <c:pt idx="1">
                  <c:v>5.1000000000000004E-3</c:v>
                </c:pt>
                <c:pt idx="2">
                  <c:v>5.7999999999999996E-3</c:v>
                </c:pt>
                <c:pt idx="3">
                  <c:v>6.1999999999999998E-3</c:v>
                </c:pt>
                <c:pt idx="4">
                  <c:v>3.6700000000000003E-2</c:v>
                </c:pt>
                <c:pt idx="5">
                  <c:v>4.3700000000000003E-2</c:v>
                </c:pt>
                <c:pt idx="6">
                  <c:v>4.4299999999999999E-2</c:v>
                </c:pt>
                <c:pt idx="7">
                  <c:v>4.8800000000000003E-2</c:v>
                </c:pt>
                <c:pt idx="8">
                  <c:v>4.8800000000000003E-2</c:v>
                </c:pt>
                <c:pt idx="9">
                  <c:v>7.8299999999999995E-2</c:v>
                </c:pt>
                <c:pt idx="10">
                  <c:v>0.1077</c:v>
                </c:pt>
                <c:pt idx="11">
                  <c:v>0.1153</c:v>
                </c:pt>
                <c:pt idx="12">
                  <c:v>0.1226</c:v>
                </c:pt>
                <c:pt idx="13">
                  <c:v>0.31059999999999999</c:v>
                </c:pt>
              </c:numCache>
            </c:numRef>
          </c:val>
          <c:extLst>
            <c:ext xmlns:c16="http://schemas.microsoft.com/office/drawing/2014/chart" uri="{C3380CC4-5D6E-409C-BE32-E72D297353CC}">
              <c16:uniqueId val="{00000001-FA7C-48E4-940B-425816C81057}"/>
            </c:ext>
          </c:extLst>
        </c:ser>
        <c:dLbls>
          <c:dLblPos val="outEnd"/>
          <c:showLegendKey val="0"/>
          <c:showVal val="1"/>
          <c:showCatName val="0"/>
          <c:showSerName val="0"/>
          <c:showPercent val="0"/>
          <c:showBubbleSize val="0"/>
        </c:dLbls>
        <c:gapWidth val="326"/>
        <c:overlap val="-58"/>
        <c:axId val="1006154608"/>
        <c:axId val="1006152112"/>
      </c:barChart>
      <c:catAx>
        <c:axId val="1006154608"/>
        <c:scaling>
          <c:orientation val="minMax"/>
        </c:scaling>
        <c:delete val="0"/>
        <c:axPos val="l"/>
        <c:numFmt formatCode="General" sourceLinked="1"/>
        <c:majorTickMark val="none"/>
        <c:minorTickMark val="none"/>
        <c:tickLblPos val="nextTo"/>
        <c:spPr>
          <a:noFill/>
          <a:ln w="19050" cap="flat" cmpd="sng" algn="ctr">
            <a:solidFill>
              <a:schemeClr val="tx1">
                <a:lumMod val="15000"/>
                <a:lumOff val="85000"/>
              </a:schemeClr>
            </a:solidFill>
            <a:round/>
            <a:headEnd type="none" w="sm" len="sm"/>
            <a:tailEnd type="none" w="sm" len="sm"/>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BD"/>
          </a:p>
        </c:txPr>
        <c:crossAx val="1006152112"/>
        <c:crosses val="autoZero"/>
        <c:auto val="1"/>
        <c:lblAlgn val="ctr"/>
        <c:lblOffset val="100"/>
        <c:noMultiLvlLbl val="0"/>
      </c:catAx>
      <c:valAx>
        <c:axId val="1006152112"/>
        <c:scaling>
          <c:orientation val="minMax"/>
        </c:scaling>
        <c:delete val="0"/>
        <c:axPos val="b"/>
        <c:majorGridlines>
          <c:spPr>
            <a:ln w="9525" cap="flat" cmpd="sng" algn="ctr">
              <a:gradFill>
                <a:gsLst>
                  <a:gs pos="99000">
                    <a:schemeClr val="tx1">
                      <a:lumMod val="25000"/>
                      <a:lumOff val="75000"/>
                    </a:schemeClr>
                  </a:gs>
                  <a:gs pos="0">
                    <a:schemeClr val="tx1">
                      <a:lumMod val="15000"/>
                      <a:lumOff val="85000"/>
                    </a:schemeClr>
                  </a:gs>
                </a:gsLst>
                <a:lin ang="5400000" scaled="0"/>
              </a:gra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BD"/>
          </a:p>
        </c:txPr>
        <c:crossAx val="1006154608"/>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BD"/>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GB"/>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GF Trend</a:t>
            </a:r>
            <a:r>
              <a:rPr lang="en-US" baseline="0"/>
              <a:t> Line</a:t>
            </a:r>
            <a:endParaRPr lang="en-US"/>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BD"/>
        </a:p>
      </c:txPr>
    </c:title>
    <c:autoTitleDeleted val="0"/>
    <c:plotArea>
      <c:layout/>
      <c:lineChart>
        <c:grouping val="standard"/>
        <c:varyColors val="0"/>
        <c:ser>
          <c:idx val="0"/>
          <c:order val="0"/>
          <c:tx>
            <c:strRef>
              <c:f>Sheet2!$A$63</c:f>
              <c:strCache>
                <c:ptCount val="1"/>
                <c:pt idx="0">
                  <c:v>SOCBs (6)</c:v>
                </c:pt>
              </c:strCache>
            </c:strRef>
          </c:tx>
          <c:spPr>
            <a:ln w="28575" cap="rnd">
              <a:solidFill>
                <a:schemeClr val="accent1"/>
              </a:solidFill>
              <a:round/>
            </a:ln>
            <a:effectLst/>
          </c:spPr>
          <c:marker>
            <c:symbol val="none"/>
          </c:marker>
          <c:cat>
            <c:numRef>
              <c:f>Sheet2!$B$62:$H$62</c:f>
              <c:numCache>
                <c:formatCode>General</c:formatCode>
                <c:ptCount val="7"/>
                <c:pt idx="0">
                  <c:v>2014</c:v>
                </c:pt>
                <c:pt idx="1">
                  <c:v>2015</c:v>
                </c:pt>
                <c:pt idx="2">
                  <c:v>2016</c:v>
                </c:pt>
                <c:pt idx="3">
                  <c:v>2017</c:v>
                </c:pt>
                <c:pt idx="4">
                  <c:v>2018</c:v>
                </c:pt>
                <c:pt idx="5">
                  <c:v>2019</c:v>
                </c:pt>
                <c:pt idx="6">
                  <c:v>2020</c:v>
                </c:pt>
              </c:numCache>
            </c:numRef>
          </c:cat>
          <c:val>
            <c:numRef>
              <c:f>Sheet2!$B$63:$H$63</c:f>
              <c:numCache>
                <c:formatCode>General</c:formatCode>
                <c:ptCount val="7"/>
                <c:pt idx="0">
                  <c:v>4699.42</c:v>
                </c:pt>
                <c:pt idx="1">
                  <c:v>3067.2</c:v>
                </c:pt>
                <c:pt idx="2">
                  <c:v>2013.7</c:v>
                </c:pt>
                <c:pt idx="3">
                  <c:v>2884.4</c:v>
                </c:pt>
                <c:pt idx="4">
                  <c:v>1815.2</c:v>
                </c:pt>
                <c:pt idx="5">
                  <c:v>1219.44</c:v>
                </c:pt>
                <c:pt idx="6">
                  <c:v>1908.91</c:v>
                </c:pt>
              </c:numCache>
            </c:numRef>
          </c:val>
          <c:smooth val="0"/>
          <c:extLst>
            <c:ext xmlns:c16="http://schemas.microsoft.com/office/drawing/2014/chart" uri="{C3380CC4-5D6E-409C-BE32-E72D297353CC}">
              <c16:uniqueId val="{00000000-B0D1-46C7-A219-F8C42316CAA0}"/>
            </c:ext>
          </c:extLst>
        </c:ser>
        <c:ser>
          <c:idx val="1"/>
          <c:order val="1"/>
          <c:tx>
            <c:strRef>
              <c:f>Sheet2!$A$64</c:f>
              <c:strCache>
                <c:ptCount val="1"/>
                <c:pt idx="0">
                  <c:v>SDBs(3)</c:v>
                </c:pt>
              </c:strCache>
            </c:strRef>
          </c:tx>
          <c:spPr>
            <a:ln w="28575" cap="rnd">
              <a:solidFill>
                <a:schemeClr val="accent2"/>
              </a:solidFill>
              <a:round/>
            </a:ln>
            <a:effectLst/>
          </c:spPr>
          <c:marker>
            <c:symbol val="none"/>
          </c:marker>
          <c:cat>
            <c:numRef>
              <c:f>Sheet2!$B$62:$H$62</c:f>
              <c:numCache>
                <c:formatCode>General</c:formatCode>
                <c:ptCount val="7"/>
                <c:pt idx="0">
                  <c:v>2014</c:v>
                </c:pt>
                <c:pt idx="1">
                  <c:v>2015</c:v>
                </c:pt>
                <c:pt idx="2">
                  <c:v>2016</c:v>
                </c:pt>
                <c:pt idx="3">
                  <c:v>2017</c:v>
                </c:pt>
                <c:pt idx="4">
                  <c:v>2018</c:v>
                </c:pt>
                <c:pt idx="5">
                  <c:v>2019</c:v>
                </c:pt>
                <c:pt idx="6">
                  <c:v>2020</c:v>
                </c:pt>
              </c:numCache>
            </c:numRef>
          </c:cat>
          <c:val>
            <c:numRef>
              <c:f>Sheet2!$B$64:$H$64</c:f>
              <c:numCache>
                <c:formatCode>General</c:formatCode>
                <c:ptCount val="7"/>
                <c:pt idx="0">
                  <c:v>2571.7600000000002</c:v>
                </c:pt>
                <c:pt idx="1">
                  <c:v>86.1</c:v>
                </c:pt>
                <c:pt idx="2">
                  <c:v>30.1</c:v>
                </c:pt>
                <c:pt idx="3">
                  <c:v>18.899999999999999</c:v>
                </c:pt>
                <c:pt idx="4">
                  <c:v>45.4</c:v>
                </c:pt>
                <c:pt idx="5">
                  <c:v>3.56</c:v>
                </c:pt>
                <c:pt idx="6">
                  <c:v>9.83</c:v>
                </c:pt>
              </c:numCache>
            </c:numRef>
          </c:val>
          <c:smooth val="0"/>
          <c:extLst>
            <c:ext xmlns:c16="http://schemas.microsoft.com/office/drawing/2014/chart" uri="{C3380CC4-5D6E-409C-BE32-E72D297353CC}">
              <c16:uniqueId val="{00000001-B0D1-46C7-A219-F8C42316CAA0}"/>
            </c:ext>
          </c:extLst>
        </c:ser>
        <c:ser>
          <c:idx val="2"/>
          <c:order val="2"/>
          <c:tx>
            <c:strRef>
              <c:f>Sheet2!$A$65</c:f>
              <c:strCache>
                <c:ptCount val="1"/>
                <c:pt idx="0">
                  <c:v>PCBs(43)</c:v>
                </c:pt>
              </c:strCache>
            </c:strRef>
          </c:tx>
          <c:spPr>
            <a:ln w="28575" cap="rnd">
              <a:solidFill>
                <a:schemeClr val="accent3"/>
              </a:solidFill>
              <a:round/>
            </a:ln>
            <a:effectLst/>
          </c:spPr>
          <c:marker>
            <c:symbol val="none"/>
          </c:marker>
          <c:cat>
            <c:numRef>
              <c:f>Sheet2!$B$62:$H$62</c:f>
              <c:numCache>
                <c:formatCode>General</c:formatCode>
                <c:ptCount val="7"/>
                <c:pt idx="0">
                  <c:v>2014</c:v>
                </c:pt>
                <c:pt idx="1">
                  <c:v>2015</c:v>
                </c:pt>
                <c:pt idx="2">
                  <c:v>2016</c:v>
                </c:pt>
                <c:pt idx="3">
                  <c:v>2017</c:v>
                </c:pt>
                <c:pt idx="4">
                  <c:v>2018</c:v>
                </c:pt>
                <c:pt idx="5">
                  <c:v>2019</c:v>
                </c:pt>
                <c:pt idx="6">
                  <c:v>2020</c:v>
                </c:pt>
              </c:numCache>
            </c:numRef>
          </c:cat>
          <c:val>
            <c:numRef>
              <c:f>Sheet2!$B$65:$H$65</c:f>
              <c:numCache>
                <c:formatCode>General</c:formatCode>
                <c:ptCount val="7"/>
                <c:pt idx="0">
                  <c:v>289757.09999999998</c:v>
                </c:pt>
                <c:pt idx="1">
                  <c:v>20098.599999999999</c:v>
                </c:pt>
                <c:pt idx="2">
                  <c:v>24597.4</c:v>
                </c:pt>
                <c:pt idx="3">
                  <c:v>30578.5</c:v>
                </c:pt>
                <c:pt idx="4">
                  <c:v>65904.3</c:v>
                </c:pt>
                <c:pt idx="5">
                  <c:v>78316.88</c:v>
                </c:pt>
                <c:pt idx="6">
                  <c:v>69668.75</c:v>
                </c:pt>
              </c:numCache>
            </c:numRef>
          </c:val>
          <c:smooth val="0"/>
          <c:extLst>
            <c:ext xmlns:c16="http://schemas.microsoft.com/office/drawing/2014/chart" uri="{C3380CC4-5D6E-409C-BE32-E72D297353CC}">
              <c16:uniqueId val="{00000002-B0D1-46C7-A219-F8C42316CAA0}"/>
            </c:ext>
          </c:extLst>
        </c:ser>
        <c:ser>
          <c:idx val="3"/>
          <c:order val="3"/>
          <c:tx>
            <c:strRef>
              <c:f>Sheet2!$A$66</c:f>
              <c:strCache>
                <c:ptCount val="1"/>
                <c:pt idx="0">
                  <c:v>FCBs(9)</c:v>
                </c:pt>
              </c:strCache>
            </c:strRef>
          </c:tx>
          <c:spPr>
            <a:ln w="28575" cap="rnd">
              <a:solidFill>
                <a:schemeClr val="accent4"/>
              </a:solidFill>
              <a:round/>
            </a:ln>
            <a:effectLst/>
          </c:spPr>
          <c:marker>
            <c:symbol val="none"/>
          </c:marker>
          <c:cat>
            <c:numRef>
              <c:f>Sheet2!$B$62:$H$62</c:f>
              <c:numCache>
                <c:formatCode>General</c:formatCode>
                <c:ptCount val="7"/>
                <c:pt idx="0">
                  <c:v>2014</c:v>
                </c:pt>
                <c:pt idx="1">
                  <c:v>2015</c:v>
                </c:pt>
                <c:pt idx="2">
                  <c:v>2016</c:v>
                </c:pt>
                <c:pt idx="3">
                  <c:v>2017</c:v>
                </c:pt>
                <c:pt idx="4">
                  <c:v>2018</c:v>
                </c:pt>
                <c:pt idx="5">
                  <c:v>2019</c:v>
                </c:pt>
                <c:pt idx="6">
                  <c:v>2020</c:v>
                </c:pt>
              </c:numCache>
            </c:numRef>
          </c:cat>
          <c:val>
            <c:numRef>
              <c:f>Sheet2!$B$66:$H$66</c:f>
              <c:numCache>
                <c:formatCode>General</c:formatCode>
                <c:ptCount val="7"/>
                <c:pt idx="0">
                  <c:v>77153.289999999994</c:v>
                </c:pt>
                <c:pt idx="1">
                  <c:v>32733.599999999999</c:v>
                </c:pt>
                <c:pt idx="2">
                  <c:v>768.8</c:v>
                </c:pt>
                <c:pt idx="3">
                  <c:v>551.29999999999995</c:v>
                </c:pt>
                <c:pt idx="4">
                  <c:v>192.6</c:v>
                </c:pt>
                <c:pt idx="5">
                  <c:v>19213.16</c:v>
                </c:pt>
                <c:pt idx="6">
                  <c:v>34332.69</c:v>
                </c:pt>
              </c:numCache>
            </c:numRef>
          </c:val>
          <c:smooth val="0"/>
          <c:extLst>
            <c:ext xmlns:c16="http://schemas.microsoft.com/office/drawing/2014/chart" uri="{C3380CC4-5D6E-409C-BE32-E72D297353CC}">
              <c16:uniqueId val="{00000003-B0D1-46C7-A219-F8C42316CAA0}"/>
            </c:ext>
          </c:extLst>
        </c:ser>
        <c:dLbls>
          <c:showLegendKey val="0"/>
          <c:showVal val="0"/>
          <c:showCatName val="0"/>
          <c:showSerName val="0"/>
          <c:showPercent val="0"/>
          <c:showBubbleSize val="0"/>
        </c:dLbls>
        <c:smooth val="0"/>
        <c:axId val="362455792"/>
        <c:axId val="362451632"/>
      </c:lineChart>
      <c:catAx>
        <c:axId val="362455792"/>
        <c:scaling>
          <c:orientation val="minMax"/>
        </c:scaling>
        <c:delete val="0"/>
        <c:axPos val="b"/>
        <c:numFmt formatCode="General" sourceLinked="1"/>
        <c:majorTickMark val="out"/>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BD"/>
          </a:p>
        </c:txPr>
        <c:crossAx val="362451632"/>
        <c:crosses val="autoZero"/>
        <c:auto val="1"/>
        <c:lblAlgn val="ctr"/>
        <c:lblOffset val="100"/>
        <c:noMultiLvlLbl val="0"/>
      </c:catAx>
      <c:valAx>
        <c:axId val="362451632"/>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out"/>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BD"/>
          </a:p>
        </c:txPr>
        <c:crossAx val="362455792"/>
        <c:crosses val="autoZero"/>
        <c:crossBetween val="between"/>
      </c:valAx>
      <c:spPr>
        <a:noFill/>
        <a:ln>
          <a:noFill/>
        </a:ln>
        <a:effectLst/>
      </c:spPr>
    </c:plotArea>
    <c:legend>
      <c:legendPos val="r"/>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BD"/>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BD"/>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GB"/>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Sustainable</a:t>
            </a:r>
            <a:r>
              <a:rPr lang="en-US" baseline="0"/>
              <a:t> Finance</a:t>
            </a:r>
            <a:endParaRPr lang="en-US"/>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BD"/>
        </a:p>
      </c:txPr>
    </c:title>
    <c:autoTitleDeleted val="0"/>
    <c:plotArea>
      <c:layout/>
      <c:barChart>
        <c:barDir val="bar"/>
        <c:grouping val="clustered"/>
        <c:varyColors val="0"/>
        <c:ser>
          <c:idx val="0"/>
          <c:order val="0"/>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BD"/>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Sheet3!$N$41:$N$57</c:f>
              <c:strCache>
                <c:ptCount val="17"/>
                <c:pt idx="0">
                  <c:v>Bangladesh Krishi Bank</c:v>
                </c:pt>
                <c:pt idx="1">
                  <c:v>Brac Bank PLC</c:v>
                </c:pt>
                <c:pt idx="2">
                  <c:v>State Bank of India</c:v>
                </c:pt>
                <c:pt idx="3">
                  <c:v>UCB PLC</c:v>
                </c:pt>
                <c:pt idx="4">
                  <c:v>Eastern Bank PLC</c:v>
                </c:pt>
                <c:pt idx="5">
                  <c:v>The City Bank PLC</c:v>
                </c:pt>
                <c:pt idx="6">
                  <c:v>Bangladesh Commerce Bank Ltd</c:v>
                </c:pt>
                <c:pt idx="7">
                  <c:v>Trust Bank PLC</c:v>
                </c:pt>
                <c:pt idx="8">
                  <c:v>Shahajalal Islami Bank PLC</c:v>
                </c:pt>
                <c:pt idx="9">
                  <c:v>Jamuna Bank PLC</c:v>
                </c:pt>
                <c:pt idx="10">
                  <c:v>NRB Commercial Bank PLC</c:v>
                </c:pt>
                <c:pt idx="11">
                  <c:v>Prime Bank PLC</c:v>
                </c:pt>
                <c:pt idx="12">
                  <c:v>Bank Asia PLC</c:v>
                </c:pt>
                <c:pt idx="13">
                  <c:v>Community Bank Bangladesh Ltd</c:v>
                </c:pt>
                <c:pt idx="14">
                  <c:v>The Premier Bank PLC</c:v>
                </c:pt>
                <c:pt idx="15">
                  <c:v>Exim Bank Ltd</c:v>
                </c:pt>
                <c:pt idx="16">
                  <c:v>Bank Asia PLC</c:v>
                </c:pt>
              </c:strCache>
            </c:strRef>
          </c:cat>
          <c:val>
            <c:numRef>
              <c:f>Sheet3!$O$41:$O$57</c:f>
              <c:numCache>
                <c:formatCode>0.00%</c:formatCode>
                <c:ptCount val="17"/>
                <c:pt idx="0">
                  <c:v>0.56479999999999997</c:v>
                </c:pt>
                <c:pt idx="1">
                  <c:v>0.41320000000000001</c:v>
                </c:pt>
                <c:pt idx="2">
                  <c:v>0.40239999999999998</c:v>
                </c:pt>
                <c:pt idx="3">
                  <c:v>0.23719999999999999</c:v>
                </c:pt>
                <c:pt idx="4">
                  <c:v>0.40350000000000003</c:v>
                </c:pt>
                <c:pt idx="5">
                  <c:v>0.3619</c:v>
                </c:pt>
                <c:pt idx="6">
                  <c:v>0.3619</c:v>
                </c:pt>
                <c:pt idx="7">
                  <c:v>0.3866</c:v>
                </c:pt>
                <c:pt idx="8">
                  <c:v>0.3866</c:v>
                </c:pt>
                <c:pt idx="9">
                  <c:v>0.2157</c:v>
                </c:pt>
                <c:pt idx="10">
                  <c:v>0.42859999999999998</c:v>
                </c:pt>
                <c:pt idx="11">
                  <c:v>0.37640000000000001</c:v>
                </c:pt>
                <c:pt idx="12">
                  <c:v>0.37640000000000001</c:v>
                </c:pt>
                <c:pt idx="13">
                  <c:v>0.31359999999999999</c:v>
                </c:pt>
                <c:pt idx="14">
                  <c:v>0.2293</c:v>
                </c:pt>
                <c:pt idx="15">
                  <c:v>0.33539999999999998</c:v>
                </c:pt>
                <c:pt idx="16">
                  <c:v>0.2397</c:v>
                </c:pt>
              </c:numCache>
            </c:numRef>
          </c:val>
          <c:extLst>
            <c:ext xmlns:c16="http://schemas.microsoft.com/office/drawing/2014/chart" uri="{C3380CC4-5D6E-409C-BE32-E72D297353CC}">
              <c16:uniqueId val="{00000000-1D22-49C3-819E-6CF9F745EDA3}"/>
            </c:ext>
          </c:extLst>
        </c:ser>
        <c:dLbls>
          <c:dLblPos val="outEnd"/>
          <c:showLegendKey val="0"/>
          <c:showVal val="1"/>
          <c:showCatName val="0"/>
          <c:showSerName val="0"/>
          <c:showPercent val="0"/>
          <c:showBubbleSize val="0"/>
        </c:dLbls>
        <c:gapWidth val="182"/>
        <c:axId val="360579024"/>
        <c:axId val="360574448"/>
      </c:barChart>
      <c:catAx>
        <c:axId val="360579024"/>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BD"/>
          </a:p>
        </c:txPr>
        <c:crossAx val="360574448"/>
        <c:crosses val="autoZero"/>
        <c:auto val="1"/>
        <c:lblAlgn val="ctr"/>
        <c:lblOffset val="100"/>
        <c:noMultiLvlLbl val="0"/>
      </c:catAx>
      <c:valAx>
        <c:axId val="360574448"/>
        <c:scaling>
          <c:orientation val="minMax"/>
        </c:scaling>
        <c:delete val="0"/>
        <c:axPos val="b"/>
        <c:majorGridlines>
          <c:spPr>
            <a:ln w="9525" cap="flat" cmpd="sng" algn="ctr">
              <a:solidFill>
                <a:schemeClr val="tx1">
                  <a:lumMod val="15000"/>
                  <a:lumOff val="85000"/>
                </a:schemeClr>
              </a:solidFill>
              <a:round/>
            </a:ln>
            <a:effectLst/>
          </c:spPr>
        </c:majorGridlines>
        <c:numFmt formatCode="0.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BD"/>
          </a:p>
        </c:txPr>
        <c:crossAx val="360579024"/>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BD"/>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GB"/>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600" b="1" i="0" u="none" strike="noStrike" kern="1200" cap="all" spc="120" normalizeH="0" baseline="0">
                <a:solidFill>
                  <a:schemeClr val="tx1">
                    <a:lumMod val="65000"/>
                    <a:lumOff val="35000"/>
                  </a:schemeClr>
                </a:solidFill>
                <a:latin typeface="+mn-lt"/>
                <a:ea typeface="+mn-ea"/>
                <a:cs typeface="+mn-cs"/>
              </a:defRPr>
            </a:pPr>
            <a:r>
              <a:rPr lang="en-US"/>
              <a:t>GF</a:t>
            </a:r>
            <a:r>
              <a:rPr lang="en-US" baseline="0"/>
              <a:t> up to 2023</a:t>
            </a:r>
            <a:endParaRPr lang="en-US"/>
          </a:p>
        </c:rich>
      </c:tx>
      <c:overlay val="0"/>
      <c:spPr>
        <a:noFill/>
        <a:ln>
          <a:noFill/>
        </a:ln>
        <a:effectLst/>
      </c:spPr>
      <c:txPr>
        <a:bodyPr rot="0" spcFirstLastPara="1" vertOverflow="ellipsis" vert="horz" wrap="square" anchor="ctr" anchorCtr="1"/>
        <a:lstStyle/>
        <a:p>
          <a:pPr>
            <a:defRPr sz="1600" b="1" i="0" u="none" strike="noStrike" kern="1200" cap="all" spc="120" normalizeH="0" baseline="0">
              <a:solidFill>
                <a:schemeClr val="tx1">
                  <a:lumMod val="65000"/>
                  <a:lumOff val="35000"/>
                </a:schemeClr>
              </a:solidFill>
              <a:latin typeface="+mn-lt"/>
              <a:ea typeface="+mn-ea"/>
              <a:cs typeface="+mn-cs"/>
            </a:defRPr>
          </a:pPr>
          <a:endParaRPr lang="en-BD"/>
        </a:p>
      </c:txPr>
    </c:title>
    <c:autoTitleDeleted val="0"/>
    <c:plotArea>
      <c:layout/>
      <c:barChart>
        <c:barDir val="col"/>
        <c:grouping val="clustered"/>
        <c:varyColors val="0"/>
        <c:ser>
          <c:idx val="0"/>
          <c:order val="0"/>
          <c:spPr>
            <a:solidFill>
              <a:schemeClr val="accent1"/>
            </a:solidFill>
            <a:ln>
              <a:noFill/>
            </a:ln>
            <a:effectLst/>
          </c:spPr>
          <c:invertIfNegative val="0"/>
          <c:dLbls>
            <c:spPr>
              <a:noFill/>
              <a:ln>
                <a:noFill/>
              </a:ln>
              <a:effectLst/>
            </c:spPr>
            <c:txPr>
              <a:bodyPr rot="-5400000" spcFirstLastPara="1" vertOverflow="clip" horzOverflow="clip" vert="horz" wrap="square" lIns="38100" tIns="19050" rIns="38100" bIns="19050" anchor="ctr" anchorCtr="1">
                <a:spAutoFit/>
              </a:bodyPr>
              <a:lstStyle/>
              <a:p>
                <a:pPr>
                  <a:defRPr sz="800" b="0" i="0" u="none" strike="noStrike" kern="1200" baseline="0">
                    <a:solidFill>
                      <a:schemeClr val="tx1">
                        <a:lumMod val="50000"/>
                        <a:lumOff val="50000"/>
                      </a:schemeClr>
                    </a:solidFill>
                    <a:latin typeface="+mn-lt"/>
                    <a:ea typeface="+mn-ea"/>
                    <a:cs typeface="+mn-cs"/>
                  </a:defRPr>
                </a:pPr>
                <a:endParaRPr lang="en-BD"/>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Sheet3!$A$62:$A$83</c:f>
              <c:strCache>
                <c:ptCount val="22"/>
                <c:pt idx="0">
                  <c:v>UCB PLC</c:v>
                </c:pt>
                <c:pt idx="1">
                  <c:v>Jamuna Bank PLC</c:v>
                </c:pt>
                <c:pt idx="2">
                  <c:v>IBBL PLC</c:v>
                </c:pt>
                <c:pt idx="3">
                  <c:v>Prime Bank PLC</c:v>
                </c:pt>
                <c:pt idx="4">
                  <c:v>Eastern Bank PLC</c:v>
                </c:pt>
                <c:pt idx="5">
                  <c:v>Uttara Bank PLC</c:v>
                </c:pt>
                <c:pt idx="6">
                  <c:v>Shajalal Islami Bank PLC</c:v>
                </c:pt>
                <c:pt idx="7">
                  <c:v>Al-Arafah Islami Bank PLC</c:v>
                </c:pt>
                <c:pt idx="8">
                  <c:v>City Bank PLC</c:v>
                </c:pt>
                <c:pt idx="9">
                  <c:v>South East Bank PLC</c:v>
                </c:pt>
                <c:pt idx="10">
                  <c:v>EXIM Bank Ltd</c:v>
                </c:pt>
                <c:pt idx="11">
                  <c:v>BRAC Bank PLC</c:v>
                </c:pt>
                <c:pt idx="12">
                  <c:v>The Premier Bank PLC</c:v>
                </c:pt>
                <c:pt idx="13">
                  <c:v>Modhumoti Bank PLC</c:v>
                </c:pt>
                <c:pt idx="14">
                  <c:v>Trust Bank Ltd</c:v>
                </c:pt>
                <c:pt idx="15">
                  <c:v>Mutual Trust Bank PLC</c:v>
                </c:pt>
                <c:pt idx="16">
                  <c:v>Social Islami Bank PLC</c:v>
                </c:pt>
                <c:pt idx="17">
                  <c:v>Community Bank Bangladesh PLC</c:v>
                </c:pt>
                <c:pt idx="18">
                  <c:v>Union Bank PLC</c:v>
                </c:pt>
                <c:pt idx="19">
                  <c:v>Rupali Bank PLC</c:v>
                </c:pt>
                <c:pt idx="20">
                  <c:v>BDB PLC </c:v>
                </c:pt>
                <c:pt idx="21">
                  <c:v>Bank Asia LTD</c:v>
                </c:pt>
              </c:strCache>
            </c:strRef>
          </c:cat>
          <c:val>
            <c:numRef>
              <c:f>Sheet3!$B$62:$B$83</c:f>
              <c:numCache>
                <c:formatCode>0.00%</c:formatCode>
                <c:ptCount val="22"/>
                <c:pt idx="0">
                  <c:v>0.36209999999999998</c:v>
                </c:pt>
                <c:pt idx="1">
                  <c:v>0.29849999999999999</c:v>
                </c:pt>
                <c:pt idx="2">
                  <c:v>0.22420000000000001</c:v>
                </c:pt>
                <c:pt idx="3">
                  <c:v>0.19949999999999998</c:v>
                </c:pt>
                <c:pt idx="4">
                  <c:v>0.18479999999999999</c:v>
                </c:pt>
                <c:pt idx="5">
                  <c:v>0.1792</c:v>
                </c:pt>
                <c:pt idx="6">
                  <c:v>0.17699999999999999</c:v>
                </c:pt>
                <c:pt idx="7">
                  <c:v>0.1542</c:v>
                </c:pt>
                <c:pt idx="8">
                  <c:v>0.14050000000000001</c:v>
                </c:pt>
                <c:pt idx="9">
                  <c:v>0.1399</c:v>
                </c:pt>
                <c:pt idx="10">
                  <c:v>0.1201</c:v>
                </c:pt>
                <c:pt idx="11">
                  <c:v>0.1047</c:v>
                </c:pt>
                <c:pt idx="12">
                  <c:v>0.10340000000000001</c:v>
                </c:pt>
                <c:pt idx="13">
                  <c:v>9.0200000000000002E-2</c:v>
                </c:pt>
                <c:pt idx="14">
                  <c:v>8.539999999999999E-2</c:v>
                </c:pt>
                <c:pt idx="15">
                  <c:v>8.4600000000000009E-2</c:v>
                </c:pt>
                <c:pt idx="16">
                  <c:v>8.2500000000000004E-2</c:v>
                </c:pt>
                <c:pt idx="17">
                  <c:v>7.7100000000000002E-2</c:v>
                </c:pt>
                <c:pt idx="18">
                  <c:v>6.9500000000000006E-2</c:v>
                </c:pt>
                <c:pt idx="19">
                  <c:v>6.7199999999999996E-2</c:v>
                </c:pt>
                <c:pt idx="20">
                  <c:v>6.59E-2</c:v>
                </c:pt>
                <c:pt idx="21">
                  <c:v>5.4699999999999999E-2</c:v>
                </c:pt>
              </c:numCache>
            </c:numRef>
          </c:val>
          <c:extLst>
            <c:ext xmlns:c16="http://schemas.microsoft.com/office/drawing/2014/chart" uri="{C3380CC4-5D6E-409C-BE32-E72D297353CC}">
              <c16:uniqueId val="{00000000-C2CD-4303-B257-8537017D550A}"/>
            </c:ext>
          </c:extLst>
        </c:ser>
        <c:dLbls>
          <c:dLblPos val="outEnd"/>
          <c:showLegendKey val="0"/>
          <c:showVal val="1"/>
          <c:showCatName val="0"/>
          <c:showSerName val="0"/>
          <c:showPercent val="0"/>
          <c:showBubbleSize val="0"/>
        </c:dLbls>
        <c:gapWidth val="444"/>
        <c:overlap val="-90"/>
        <c:axId val="399528863"/>
        <c:axId val="399526367"/>
      </c:barChart>
      <c:catAx>
        <c:axId val="399528863"/>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cap="all" spc="120" normalizeH="0" baseline="0">
                <a:solidFill>
                  <a:schemeClr val="tx1">
                    <a:lumMod val="65000"/>
                    <a:lumOff val="35000"/>
                  </a:schemeClr>
                </a:solidFill>
                <a:latin typeface="+mn-lt"/>
                <a:ea typeface="+mn-ea"/>
                <a:cs typeface="+mn-cs"/>
              </a:defRPr>
            </a:pPr>
            <a:endParaRPr lang="en-BD"/>
          </a:p>
        </c:txPr>
        <c:crossAx val="399526367"/>
        <c:crosses val="autoZero"/>
        <c:auto val="1"/>
        <c:lblAlgn val="ctr"/>
        <c:lblOffset val="100"/>
        <c:noMultiLvlLbl val="0"/>
      </c:catAx>
      <c:valAx>
        <c:axId val="399526367"/>
        <c:scaling>
          <c:orientation val="minMax"/>
        </c:scaling>
        <c:delete val="1"/>
        <c:axPos val="l"/>
        <c:numFmt formatCode="0.00%" sourceLinked="1"/>
        <c:majorTickMark val="none"/>
        <c:minorTickMark val="none"/>
        <c:tickLblPos val="nextTo"/>
        <c:crossAx val="399528863"/>
        <c:crosses val="autoZero"/>
        <c:crossBetween val="between"/>
      </c:valAx>
      <c:spPr>
        <a:noFill/>
        <a:ln>
          <a:noFill/>
        </a:ln>
        <a:effectLst/>
      </c:spPr>
    </c:plotArea>
    <c:plotVisOnly val="1"/>
    <c:dispBlanksAs val="gap"/>
    <c:showDLblsOverMax val="0"/>
  </c:chart>
  <c:spPr>
    <a:solidFill>
      <a:schemeClr val="lt1"/>
    </a:solidFill>
    <a:ln w="9525" cap="flat" cmpd="sng" algn="ctr">
      <a:solidFill>
        <a:schemeClr val="tx1">
          <a:lumMod val="15000"/>
          <a:lumOff val="85000"/>
        </a:schemeClr>
      </a:solidFill>
      <a:round/>
    </a:ln>
    <a:effectLst/>
  </c:spPr>
  <c:txPr>
    <a:bodyPr/>
    <a:lstStyle/>
    <a:p>
      <a:pPr>
        <a:defRPr/>
      </a:pPr>
      <a:endParaRPr lang="en-BD"/>
    </a:p>
  </c:txPr>
  <c:externalData r:id="rId3">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GB"/>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600" b="1" i="0" u="none" strike="noStrike" kern="1200" cap="all" spc="120" normalizeH="0" baseline="0">
                <a:solidFill>
                  <a:schemeClr val="tx1">
                    <a:lumMod val="65000"/>
                    <a:lumOff val="35000"/>
                  </a:schemeClr>
                </a:solidFill>
                <a:latin typeface="+mn-lt"/>
                <a:ea typeface="+mn-ea"/>
                <a:cs typeface="+mn-cs"/>
              </a:defRPr>
            </a:pPr>
            <a:r>
              <a:rPr lang="en-US" sz="1000"/>
              <a:t>Target Attainment by Banks in GF and SF</a:t>
            </a:r>
          </a:p>
        </c:rich>
      </c:tx>
      <c:overlay val="0"/>
      <c:spPr>
        <a:noFill/>
        <a:ln>
          <a:noFill/>
        </a:ln>
        <a:effectLst/>
      </c:spPr>
      <c:txPr>
        <a:bodyPr rot="0" spcFirstLastPara="1" vertOverflow="ellipsis" vert="horz" wrap="square" anchor="ctr" anchorCtr="1"/>
        <a:lstStyle/>
        <a:p>
          <a:pPr>
            <a:defRPr sz="1600" b="1" i="0" u="none" strike="noStrike" kern="1200" cap="all" spc="120" normalizeH="0" baseline="0">
              <a:solidFill>
                <a:schemeClr val="tx1">
                  <a:lumMod val="65000"/>
                  <a:lumOff val="35000"/>
                </a:schemeClr>
              </a:solidFill>
              <a:latin typeface="+mn-lt"/>
              <a:ea typeface="+mn-ea"/>
              <a:cs typeface="+mn-cs"/>
            </a:defRPr>
          </a:pPr>
          <a:endParaRPr lang="en-BD"/>
        </a:p>
      </c:txPr>
    </c:title>
    <c:autoTitleDeleted val="0"/>
    <c:plotArea>
      <c:layout/>
      <c:barChart>
        <c:barDir val="col"/>
        <c:grouping val="clustered"/>
        <c:varyColors val="0"/>
        <c:ser>
          <c:idx val="0"/>
          <c:order val="0"/>
          <c:tx>
            <c:strRef>
              <c:f>Sheet4!$A$60</c:f>
              <c:strCache>
                <c:ptCount val="1"/>
                <c:pt idx="0">
                  <c:v>SOCBS(06)</c:v>
                </c:pt>
              </c:strCache>
            </c:strRef>
          </c:tx>
          <c:spPr>
            <a:solidFill>
              <a:schemeClr val="accent1"/>
            </a:solidFill>
            <a:ln>
              <a:noFill/>
            </a:ln>
            <a:effectLst/>
          </c:spPr>
          <c:invertIfNegative val="0"/>
          <c:dLbls>
            <c:spPr>
              <a:noFill/>
              <a:ln>
                <a:noFill/>
              </a:ln>
              <a:effectLst/>
            </c:spPr>
            <c:txPr>
              <a:bodyPr rot="-5400000" spcFirstLastPara="1" vertOverflow="clip" horzOverflow="clip" vert="horz" wrap="square" lIns="38100" tIns="19050" rIns="38100" bIns="19050" anchor="ctr" anchorCtr="1">
                <a:spAutoFit/>
              </a:bodyPr>
              <a:lstStyle/>
              <a:p>
                <a:pPr>
                  <a:defRPr sz="800" b="0" i="0" u="none" strike="noStrike" kern="1200" baseline="0">
                    <a:solidFill>
                      <a:schemeClr val="tx1">
                        <a:lumMod val="50000"/>
                        <a:lumOff val="50000"/>
                      </a:schemeClr>
                    </a:solidFill>
                    <a:latin typeface="+mn-lt"/>
                    <a:ea typeface="+mn-ea"/>
                    <a:cs typeface="+mn-cs"/>
                  </a:defRPr>
                </a:pPr>
                <a:endParaRPr lang="en-BD"/>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multiLvlStrRef>
              <c:f>Sheet4!$B$58:$I$59</c:f>
              <c:multiLvlStrCache>
                <c:ptCount val="8"/>
                <c:lvl>
                  <c:pt idx="0">
                    <c:v>Q1</c:v>
                  </c:pt>
                  <c:pt idx="1">
                    <c:v>Q2</c:v>
                  </c:pt>
                  <c:pt idx="2">
                    <c:v>Q3</c:v>
                  </c:pt>
                  <c:pt idx="3">
                    <c:v>Q4</c:v>
                  </c:pt>
                  <c:pt idx="4">
                    <c:v>Q1</c:v>
                  </c:pt>
                  <c:pt idx="5">
                    <c:v>Q2</c:v>
                  </c:pt>
                  <c:pt idx="6">
                    <c:v>Q3</c:v>
                  </c:pt>
                  <c:pt idx="7">
                    <c:v>Q4</c:v>
                  </c:pt>
                </c:lvl>
                <c:lvl>
                  <c:pt idx="0">
                    <c:v>GF-2023</c:v>
                  </c:pt>
                  <c:pt idx="4">
                    <c:v>SF-2023</c:v>
                  </c:pt>
                </c:lvl>
              </c:multiLvlStrCache>
            </c:multiLvlStrRef>
          </c:cat>
          <c:val>
            <c:numRef>
              <c:f>Sheet4!$B$60:$I$60</c:f>
              <c:numCache>
                <c:formatCode>0.00%</c:formatCode>
                <c:ptCount val="8"/>
                <c:pt idx="0">
                  <c:v>1.0699999999999999E-2</c:v>
                </c:pt>
                <c:pt idx="1">
                  <c:v>9.2999999999999992E-3</c:v>
                </c:pt>
                <c:pt idx="2">
                  <c:v>1.04E-2</c:v>
                </c:pt>
                <c:pt idx="3">
                  <c:v>1.6400000000000001E-2</c:v>
                </c:pt>
                <c:pt idx="4">
                  <c:v>5.6399999999999999E-2</c:v>
                </c:pt>
                <c:pt idx="5">
                  <c:v>8.4699999999999998E-2</c:v>
                </c:pt>
                <c:pt idx="6">
                  <c:v>4.7500000000000001E-2</c:v>
                </c:pt>
                <c:pt idx="7">
                  <c:v>6.0999999999999999E-2</c:v>
                </c:pt>
              </c:numCache>
            </c:numRef>
          </c:val>
          <c:extLst>
            <c:ext xmlns:c16="http://schemas.microsoft.com/office/drawing/2014/chart" uri="{C3380CC4-5D6E-409C-BE32-E72D297353CC}">
              <c16:uniqueId val="{00000000-94F4-4C86-AC0A-003060D39F8F}"/>
            </c:ext>
          </c:extLst>
        </c:ser>
        <c:ser>
          <c:idx val="1"/>
          <c:order val="1"/>
          <c:tx>
            <c:strRef>
              <c:f>Sheet4!$A$61</c:f>
              <c:strCache>
                <c:ptCount val="1"/>
                <c:pt idx="0">
                  <c:v>SDBs (03)</c:v>
                </c:pt>
              </c:strCache>
            </c:strRef>
          </c:tx>
          <c:spPr>
            <a:solidFill>
              <a:schemeClr val="accent2"/>
            </a:solidFill>
            <a:ln>
              <a:noFill/>
            </a:ln>
            <a:effectLst/>
          </c:spPr>
          <c:invertIfNegative val="0"/>
          <c:dLbls>
            <c:spPr>
              <a:noFill/>
              <a:ln>
                <a:noFill/>
              </a:ln>
              <a:effectLst/>
            </c:spPr>
            <c:txPr>
              <a:bodyPr rot="-5400000" spcFirstLastPara="1" vertOverflow="clip" horzOverflow="clip" vert="horz" wrap="square" lIns="38100" tIns="19050" rIns="38100" bIns="19050" anchor="ctr" anchorCtr="1">
                <a:spAutoFit/>
              </a:bodyPr>
              <a:lstStyle/>
              <a:p>
                <a:pPr>
                  <a:defRPr sz="800" b="0" i="0" u="none" strike="noStrike" kern="1200" baseline="0">
                    <a:solidFill>
                      <a:schemeClr val="tx1">
                        <a:lumMod val="50000"/>
                        <a:lumOff val="50000"/>
                      </a:schemeClr>
                    </a:solidFill>
                    <a:latin typeface="+mn-lt"/>
                    <a:ea typeface="+mn-ea"/>
                    <a:cs typeface="+mn-cs"/>
                  </a:defRPr>
                </a:pPr>
                <a:endParaRPr lang="en-BD"/>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multiLvlStrRef>
              <c:f>Sheet4!$B$58:$I$59</c:f>
              <c:multiLvlStrCache>
                <c:ptCount val="8"/>
                <c:lvl>
                  <c:pt idx="0">
                    <c:v>Q1</c:v>
                  </c:pt>
                  <c:pt idx="1">
                    <c:v>Q2</c:v>
                  </c:pt>
                  <c:pt idx="2">
                    <c:v>Q3</c:v>
                  </c:pt>
                  <c:pt idx="3">
                    <c:v>Q4</c:v>
                  </c:pt>
                  <c:pt idx="4">
                    <c:v>Q1</c:v>
                  </c:pt>
                  <c:pt idx="5">
                    <c:v>Q2</c:v>
                  </c:pt>
                  <c:pt idx="6">
                    <c:v>Q3</c:v>
                  </c:pt>
                  <c:pt idx="7">
                    <c:v>Q4</c:v>
                  </c:pt>
                </c:lvl>
                <c:lvl>
                  <c:pt idx="0">
                    <c:v>GF-2023</c:v>
                  </c:pt>
                  <c:pt idx="4">
                    <c:v>SF-2023</c:v>
                  </c:pt>
                </c:lvl>
              </c:multiLvlStrCache>
            </c:multiLvlStrRef>
          </c:cat>
          <c:val>
            <c:numRef>
              <c:f>Sheet4!$B$61:$I$61</c:f>
              <c:numCache>
                <c:formatCode>0.00%</c:formatCode>
                <c:ptCount val="8"/>
                <c:pt idx="0">
                  <c:v>1.6000000000000001E-3</c:v>
                </c:pt>
                <c:pt idx="1">
                  <c:v>8.9999999999999998E-4</c:v>
                </c:pt>
                <c:pt idx="2">
                  <c:v>2.0000000000000001E-4</c:v>
                </c:pt>
                <c:pt idx="3">
                  <c:v>8.0000000000000004E-4</c:v>
                </c:pt>
                <c:pt idx="4">
                  <c:v>0.54430000000000001</c:v>
                </c:pt>
                <c:pt idx="5">
                  <c:v>0.51590000000000003</c:v>
                </c:pt>
                <c:pt idx="6">
                  <c:v>0.43070000000000003</c:v>
                </c:pt>
                <c:pt idx="7">
                  <c:v>0.1888</c:v>
                </c:pt>
              </c:numCache>
            </c:numRef>
          </c:val>
          <c:extLst>
            <c:ext xmlns:c16="http://schemas.microsoft.com/office/drawing/2014/chart" uri="{C3380CC4-5D6E-409C-BE32-E72D297353CC}">
              <c16:uniqueId val="{00000001-94F4-4C86-AC0A-003060D39F8F}"/>
            </c:ext>
          </c:extLst>
        </c:ser>
        <c:ser>
          <c:idx val="2"/>
          <c:order val="2"/>
          <c:tx>
            <c:strRef>
              <c:f>Sheet4!$A$62</c:f>
              <c:strCache>
                <c:ptCount val="1"/>
                <c:pt idx="0">
                  <c:v>PCBs (43)</c:v>
                </c:pt>
              </c:strCache>
            </c:strRef>
          </c:tx>
          <c:spPr>
            <a:solidFill>
              <a:schemeClr val="accent3"/>
            </a:solidFill>
            <a:ln>
              <a:noFill/>
            </a:ln>
            <a:effectLst/>
          </c:spPr>
          <c:invertIfNegative val="0"/>
          <c:dLbls>
            <c:spPr>
              <a:noFill/>
              <a:ln>
                <a:noFill/>
              </a:ln>
              <a:effectLst/>
            </c:spPr>
            <c:txPr>
              <a:bodyPr rot="-5400000" spcFirstLastPara="1" vertOverflow="clip" horzOverflow="clip" vert="horz" wrap="square" lIns="38100" tIns="19050" rIns="38100" bIns="19050" anchor="ctr" anchorCtr="1">
                <a:spAutoFit/>
              </a:bodyPr>
              <a:lstStyle/>
              <a:p>
                <a:pPr>
                  <a:defRPr sz="800" b="0" i="0" u="none" strike="noStrike" kern="1200" baseline="0">
                    <a:solidFill>
                      <a:schemeClr val="tx1">
                        <a:lumMod val="50000"/>
                        <a:lumOff val="50000"/>
                      </a:schemeClr>
                    </a:solidFill>
                    <a:latin typeface="+mn-lt"/>
                    <a:ea typeface="+mn-ea"/>
                    <a:cs typeface="+mn-cs"/>
                  </a:defRPr>
                </a:pPr>
                <a:endParaRPr lang="en-BD"/>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multiLvlStrRef>
              <c:f>Sheet4!$B$58:$I$59</c:f>
              <c:multiLvlStrCache>
                <c:ptCount val="8"/>
                <c:lvl>
                  <c:pt idx="0">
                    <c:v>Q1</c:v>
                  </c:pt>
                  <c:pt idx="1">
                    <c:v>Q2</c:v>
                  </c:pt>
                  <c:pt idx="2">
                    <c:v>Q3</c:v>
                  </c:pt>
                  <c:pt idx="3">
                    <c:v>Q4</c:v>
                  </c:pt>
                  <c:pt idx="4">
                    <c:v>Q1</c:v>
                  </c:pt>
                  <c:pt idx="5">
                    <c:v>Q2</c:v>
                  </c:pt>
                  <c:pt idx="6">
                    <c:v>Q3</c:v>
                  </c:pt>
                  <c:pt idx="7">
                    <c:v>Q4</c:v>
                  </c:pt>
                </c:lvl>
                <c:lvl>
                  <c:pt idx="0">
                    <c:v>GF-2023</c:v>
                  </c:pt>
                  <c:pt idx="4">
                    <c:v>SF-2023</c:v>
                  </c:pt>
                </c:lvl>
              </c:multiLvlStrCache>
            </c:multiLvlStrRef>
          </c:cat>
          <c:val>
            <c:numRef>
              <c:f>Sheet4!$B$62:$I$62</c:f>
              <c:numCache>
                <c:formatCode>0.00%</c:formatCode>
                <c:ptCount val="8"/>
                <c:pt idx="0">
                  <c:v>4.8099999999999997E-2</c:v>
                </c:pt>
                <c:pt idx="1">
                  <c:v>5.9299999999999999E-2</c:v>
                </c:pt>
                <c:pt idx="2">
                  <c:v>8.7100000000000011E-2</c:v>
                </c:pt>
                <c:pt idx="3">
                  <c:v>0.1137</c:v>
                </c:pt>
                <c:pt idx="4">
                  <c:v>0.14119999999999999</c:v>
                </c:pt>
                <c:pt idx="5">
                  <c:v>0.12939999999999999</c:v>
                </c:pt>
                <c:pt idx="6">
                  <c:v>0.13070000000000001</c:v>
                </c:pt>
                <c:pt idx="7">
                  <c:v>0.40010000000000001</c:v>
                </c:pt>
              </c:numCache>
            </c:numRef>
          </c:val>
          <c:extLst>
            <c:ext xmlns:c16="http://schemas.microsoft.com/office/drawing/2014/chart" uri="{C3380CC4-5D6E-409C-BE32-E72D297353CC}">
              <c16:uniqueId val="{00000002-94F4-4C86-AC0A-003060D39F8F}"/>
            </c:ext>
          </c:extLst>
        </c:ser>
        <c:ser>
          <c:idx val="3"/>
          <c:order val="3"/>
          <c:tx>
            <c:strRef>
              <c:f>Sheet4!$A$63</c:f>
              <c:strCache>
                <c:ptCount val="1"/>
                <c:pt idx="0">
                  <c:v>FCBs(09)</c:v>
                </c:pt>
              </c:strCache>
            </c:strRef>
          </c:tx>
          <c:spPr>
            <a:solidFill>
              <a:schemeClr val="accent4"/>
            </a:solidFill>
            <a:ln>
              <a:noFill/>
            </a:ln>
            <a:effectLst/>
          </c:spPr>
          <c:invertIfNegative val="0"/>
          <c:dLbls>
            <c:spPr>
              <a:noFill/>
              <a:ln>
                <a:noFill/>
              </a:ln>
              <a:effectLst/>
            </c:spPr>
            <c:txPr>
              <a:bodyPr rot="-5400000" spcFirstLastPara="1" vertOverflow="clip" horzOverflow="clip" vert="horz" wrap="square" lIns="38100" tIns="19050" rIns="38100" bIns="19050" anchor="ctr" anchorCtr="1">
                <a:spAutoFit/>
              </a:bodyPr>
              <a:lstStyle/>
              <a:p>
                <a:pPr>
                  <a:defRPr sz="800" b="0" i="0" u="none" strike="noStrike" kern="1200" baseline="0">
                    <a:solidFill>
                      <a:schemeClr val="tx1">
                        <a:lumMod val="50000"/>
                        <a:lumOff val="50000"/>
                      </a:schemeClr>
                    </a:solidFill>
                    <a:latin typeface="+mn-lt"/>
                    <a:ea typeface="+mn-ea"/>
                    <a:cs typeface="+mn-cs"/>
                  </a:defRPr>
                </a:pPr>
                <a:endParaRPr lang="en-BD"/>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multiLvlStrRef>
              <c:f>Sheet4!$B$58:$I$59</c:f>
              <c:multiLvlStrCache>
                <c:ptCount val="8"/>
                <c:lvl>
                  <c:pt idx="0">
                    <c:v>Q1</c:v>
                  </c:pt>
                  <c:pt idx="1">
                    <c:v>Q2</c:v>
                  </c:pt>
                  <c:pt idx="2">
                    <c:v>Q3</c:v>
                  </c:pt>
                  <c:pt idx="3">
                    <c:v>Q4</c:v>
                  </c:pt>
                  <c:pt idx="4">
                    <c:v>Q1</c:v>
                  </c:pt>
                  <c:pt idx="5">
                    <c:v>Q2</c:v>
                  </c:pt>
                  <c:pt idx="6">
                    <c:v>Q3</c:v>
                  </c:pt>
                  <c:pt idx="7">
                    <c:v>Q4</c:v>
                  </c:pt>
                </c:lvl>
                <c:lvl>
                  <c:pt idx="0">
                    <c:v>GF-2023</c:v>
                  </c:pt>
                  <c:pt idx="4">
                    <c:v>SF-2023</c:v>
                  </c:pt>
                </c:lvl>
              </c:multiLvlStrCache>
            </c:multiLvlStrRef>
          </c:cat>
          <c:val>
            <c:numRef>
              <c:f>Sheet4!$B$63:$I$63</c:f>
              <c:numCache>
                <c:formatCode>0.00%</c:formatCode>
                <c:ptCount val="8"/>
                <c:pt idx="0">
                  <c:v>1.34E-2</c:v>
                </c:pt>
                <c:pt idx="1">
                  <c:v>4.9299999999999997E-2</c:v>
                </c:pt>
                <c:pt idx="2">
                  <c:v>1.78E-2</c:v>
                </c:pt>
                <c:pt idx="3">
                  <c:v>7.4499999999999997E-2</c:v>
                </c:pt>
                <c:pt idx="4">
                  <c:v>9.8299999999999998E-2</c:v>
                </c:pt>
                <c:pt idx="5">
                  <c:v>0.10390000000000001</c:v>
                </c:pt>
                <c:pt idx="6">
                  <c:v>0.1048</c:v>
                </c:pt>
                <c:pt idx="7">
                  <c:v>0.1699</c:v>
                </c:pt>
              </c:numCache>
            </c:numRef>
          </c:val>
          <c:extLst>
            <c:ext xmlns:c16="http://schemas.microsoft.com/office/drawing/2014/chart" uri="{C3380CC4-5D6E-409C-BE32-E72D297353CC}">
              <c16:uniqueId val="{00000003-94F4-4C86-AC0A-003060D39F8F}"/>
            </c:ext>
          </c:extLst>
        </c:ser>
        <c:ser>
          <c:idx val="4"/>
          <c:order val="4"/>
          <c:tx>
            <c:strRef>
              <c:f>Sheet4!$A$64</c:f>
              <c:strCache>
                <c:ptCount val="1"/>
                <c:pt idx="0">
                  <c:v>Bank's Total</c:v>
                </c:pt>
              </c:strCache>
            </c:strRef>
          </c:tx>
          <c:spPr>
            <a:solidFill>
              <a:schemeClr val="accent5"/>
            </a:solidFill>
            <a:ln>
              <a:noFill/>
            </a:ln>
            <a:effectLst/>
          </c:spPr>
          <c:invertIfNegative val="0"/>
          <c:dLbls>
            <c:spPr>
              <a:noFill/>
              <a:ln>
                <a:noFill/>
              </a:ln>
              <a:effectLst/>
            </c:spPr>
            <c:txPr>
              <a:bodyPr rot="-5400000" spcFirstLastPara="1" vertOverflow="clip" horzOverflow="clip" vert="horz" wrap="square" lIns="38100" tIns="19050" rIns="38100" bIns="19050" anchor="ctr" anchorCtr="1">
                <a:spAutoFit/>
              </a:bodyPr>
              <a:lstStyle/>
              <a:p>
                <a:pPr>
                  <a:defRPr sz="800" b="0" i="0" u="none" strike="noStrike" kern="1200" baseline="0">
                    <a:solidFill>
                      <a:schemeClr val="tx1">
                        <a:lumMod val="50000"/>
                        <a:lumOff val="50000"/>
                      </a:schemeClr>
                    </a:solidFill>
                    <a:latin typeface="+mn-lt"/>
                    <a:ea typeface="+mn-ea"/>
                    <a:cs typeface="+mn-cs"/>
                  </a:defRPr>
                </a:pPr>
                <a:endParaRPr lang="en-BD"/>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multiLvlStrRef>
              <c:f>Sheet4!$B$58:$I$59</c:f>
              <c:multiLvlStrCache>
                <c:ptCount val="8"/>
                <c:lvl>
                  <c:pt idx="0">
                    <c:v>Q1</c:v>
                  </c:pt>
                  <c:pt idx="1">
                    <c:v>Q2</c:v>
                  </c:pt>
                  <c:pt idx="2">
                    <c:v>Q3</c:v>
                  </c:pt>
                  <c:pt idx="3">
                    <c:v>Q4</c:v>
                  </c:pt>
                  <c:pt idx="4">
                    <c:v>Q1</c:v>
                  </c:pt>
                  <c:pt idx="5">
                    <c:v>Q2</c:v>
                  </c:pt>
                  <c:pt idx="6">
                    <c:v>Q3</c:v>
                  </c:pt>
                  <c:pt idx="7">
                    <c:v>Q4</c:v>
                  </c:pt>
                </c:lvl>
                <c:lvl>
                  <c:pt idx="0">
                    <c:v>GF-2023</c:v>
                  </c:pt>
                  <c:pt idx="4">
                    <c:v>SF-2023</c:v>
                  </c:pt>
                </c:lvl>
              </c:multiLvlStrCache>
            </c:multiLvlStrRef>
          </c:cat>
          <c:val>
            <c:numRef>
              <c:f>Sheet4!$B$64:$I$64</c:f>
              <c:numCache>
                <c:formatCode>0.00%</c:formatCode>
                <c:ptCount val="8"/>
                <c:pt idx="0">
                  <c:v>4.1599999999999998E-2</c:v>
                </c:pt>
                <c:pt idx="1">
                  <c:v>5.2999999999999999E-2</c:v>
                </c:pt>
                <c:pt idx="2">
                  <c:v>7.1500000000000008E-2</c:v>
                </c:pt>
                <c:pt idx="3">
                  <c:v>9.0899999999999995E-2</c:v>
                </c:pt>
                <c:pt idx="4">
                  <c:v>0.13589999999999999</c:v>
                </c:pt>
                <c:pt idx="5">
                  <c:v>0.12989999999999999</c:v>
                </c:pt>
                <c:pt idx="6">
                  <c:v>0.12720000000000001</c:v>
                </c:pt>
                <c:pt idx="7">
                  <c:v>0.27239999999999998</c:v>
                </c:pt>
              </c:numCache>
            </c:numRef>
          </c:val>
          <c:extLst>
            <c:ext xmlns:c16="http://schemas.microsoft.com/office/drawing/2014/chart" uri="{C3380CC4-5D6E-409C-BE32-E72D297353CC}">
              <c16:uniqueId val="{00000004-94F4-4C86-AC0A-003060D39F8F}"/>
            </c:ext>
          </c:extLst>
        </c:ser>
        <c:dLbls>
          <c:dLblPos val="outEnd"/>
          <c:showLegendKey val="0"/>
          <c:showVal val="1"/>
          <c:showCatName val="0"/>
          <c:showSerName val="0"/>
          <c:showPercent val="0"/>
          <c:showBubbleSize val="0"/>
        </c:dLbls>
        <c:gapWidth val="444"/>
        <c:overlap val="-90"/>
        <c:axId val="1009741392"/>
        <c:axId val="1009751376"/>
      </c:barChart>
      <c:catAx>
        <c:axId val="1009741392"/>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cap="all" spc="120" normalizeH="0" baseline="0">
                <a:solidFill>
                  <a:schemeClr val="tx1">
                    <a:lumMod val="65000"/>
                    <a:lumOff val="35000"/>
                  </a:schemeClr>
                </a:solidFill>
                <a:latin typeface="+mn-lt"/>
                <a:ea typeface="+mn-ea"/>
                <a:cs typeface="+mn-cs"/>
              </a:defRPr>
            </a:pPr>
            <a:endParaRPr lang="en-BD"/>
          </a:p>
        </c:txPr>
        <c:crossAx val="1009751376"/>
        <c:crosses val="autoZero"/>
        <c:auto val="1"/>
        <c:lblAlgn val="ctr"/>
        <c:lblOffset val="100"/>
        <c:noMultiLvlLbl val="0"/>
      </c:catAx>
      <c:valAx>
        <c:axId val="1009751376"/>
        <c:scaling>
          <c:orientation val="minMax"/>
        </c:scaling>
        <c:delete val="1"/>
        <c:axPos val="l"/>
        <c:numFmt formatCode="0.00%" sourceLinked="1"/>
        <c:majorTickMark val="none"/>
        <c:minorTickMark val="none"/>
        <c:tickLblPos val="nextTo"/>
        <c:crossAx val="1009741392"/>
        <c:crosses val="autoZero"/>
        <c:crossBetween val="between"/>
      </c:valAx>
      <c:dTable>
        <c:showHorzBorder val="1"/>
        <c:showVertBorder val="1"/>
        <c:showOutline val="1"/>
        <c:showKeys val="1"/>
        <c:spPr>
          <a:noFill/>
          <a:ln w="9525">
            <a:solidFill>
              <a:schemeClr val="tx1">
                <a:lumMod val="15000"/>
                <a:lumOff val="85000"/>
              </a:schemeClr>
            </a:solidFill>
          </a:ln>
          <a:effectLst/>
        </c:spPr>
        <c:txPr>
          <a:bodyPr rot="0" spcFirstLastPara="1" vertOverflow="ellipsis" vert="horz" wrap="square" anchor="ctr" anchorCtr="1"/>
          <a:lstStyle/>
          <a:p>
            <a:pPr rtl="0">
              <a:defRPr sz="900" b="0" i="0" u="none" strike="noStrike" kern="1200" baseline="0">
                <a:solidFill>
                  <a:schemeClr val="tx1">
                    <a:lumMod val="65000"/>
                    <a:lumOff val="35000"/>
                  </a:schemeClr>
                </a:solidFill>
                <a:latin typeface="+mn-lt"/>
                <a:ea typeface="+mn-ea"/>
                <a:cs typeface="+mn-cs"/>
              </a:defRPr>
            </a:pPr>
            <a:endParaRPr lang="en-BD"/>
          </a:p>
        </c:txPr>
      </c:dTable>
      <c:spPr>
        <a:noFill/>
        <a:ln>
          <a:noFill/>
        </a:ln>
        <a:effectLst/>
      </c:spPr>
    </c:plotArea>
    <c:legend>
      <c:legendPos val="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BD"/>
        </a:p>
      </c:txPr>
    </c:legend>
    <c:plotVisOnly val="1"/>
    <c:dispBlanksAs val="gap"/>
    <c:showDLblsOverMax val="0"/>
  </c:chart>
  <c:spPr>
    <a:solidFill>
      <a:schemeClr val="lt1"/>
    </a:solidFill>
    <a:ln w="9525" cap="flat" cmpd="sng" algn="ctr">
      <a:solidFill>
        <a:schemeClr val="tx1">
          <a:lumMod val="15000"/>
          <a:lumOff val="85000"/>
        </a:schemeClr>
      </a:solidFill>
      <a:round/>
    </a:ln>
    <a:effectLst/>
  </c:spPr>
  <c:txPr>
    <a:bodyPr/>
    <a:lstStyle/>
    <a:p>
      <a:pPr>
        <a:defRPr/>
      </a:pPr>
      <a:endParaRPr lang="en-BD"/>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23">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spPr>
      <a:ln w="19050" cap="flat" cmpd="sng" algn="ctr">
        <a:solidFill>
          <a:schemeClr val="tx1">
            <a:lumMod val="15000"/>
            <a:lumOff val="85000"/>
          </a:schemeClr>
        </a:solidFill>
        <a:round/>
        <a:headEnd type="none" w="sm" len="sm"/>
        <a:tailEnd type="none" w="sm" len="sm"/>
      </a:ln>
    </cs:spPr>
    <cs:defRPr sz="900" kern="1200"/>
  </cs:categoryAxis>
  <cs:chartArea mods="allowNoFillOverride allowNoLineOverride">
    <cs:lnRef idx="0"/>
    <cs:fillRef idx="0"/>
    <cs:effectRef idx="0"/>
    <cs:fontRef idx="minor">
      <a:schemeClr val="dk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bg1"/>
    </cs:fontRef>
    <cs:spPr>
      <a:solidFill>
        <a:schemeClr val="tx1">
          <a:lumMod val="50000"/>
          <a:lumOff val="50000"/>
        </a:schemeClr>
      </a:solidFill>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gradFill flip="none" rotWithShape="1">
        <a:gsLst>
          <a:gs pos="0">
            <a:schemeClr val="phClr"/>
          </a:gs>
          <a:gs pos="75000">
            <a:schemeClr val="phClr">
              <a:lumMod val="60000"/>
              <a:lumOff val="40000"/>
            </a:schemeClr>
          </a:gs>
          <a:gs pos="51000">
            <a:schemeClr val="phClr">
              <a:alpha val="75000"/>
            </a:schemeClr>
          </a:gs>
          <a:gs pos="100000">
            <a:schemeClr val="phClr">
              <a:lumMod val="20000"/>
              <a:lumOff val="80000"/>
              <a:alpha val="15000"/>
            </a:schemeClr>
          </a:gs>
        </a:gsLst>
        <a:lin ang="10800000" scaled="1"/>
        <a:tileRect/>
      </a:gradFill>
    </cs:spPr>
  </cs:dataPoint>
  <cs:dataPoint3D>
    <cs:lnRef idx="0"/>
    <cs:fillRef idx="0">
      <cs:styleClr val="auto"/>
    </cs:fillRef>
    <cs:effectRef idx="0"/>
    <cs:fontRef idx="minor">
      <a:schemeClr val="dk1"/>
    </cs:fontRef>
    <cs:spPr>
      <a:gradFill flip="none" rotWithShape="1">
        <a:gsLst>
          <a:gs pos="0">
            <a:schemeClr val="phClr"/>
          </a:gs>
          <a:gs pos="75000">
            <a:schemeClr val="phClr">
              <a:lumMod val="60000"/>
              <a:lumOff val="40000"/>
            </a:schemeClr>
          </a:gs>
          <a:gs pos="51000">
            <a:schemeClr val="phClr">
              <a:alpha val="75000"/>
            </a:schemeClr>
          </a:gs>
          <a:gs pos="100000">
            <a:schemeClr val="phClr">
              <a:lumMod val="20000"/>
              <a:lumOff val="80000"/>
              <a:alpha val="15000"/>
            </a:schemeClr>
          </a:gs>
        </a:gsLst>
        <a:lin ang="10800000" scaled="1"/>
        <a:tileRect/>
      </a:gradFill>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styleClr val="auto"/>
    </cs:lnRef>
    <cs:fillRef idx="0">
      <cs:styleClr val="auto"/>
    </cs:fillRef>
    <cs:effectRef idx="0"/>
    <cs:fontRef idx="minor">
      <a:schemeClr val="dk1"/>
    </cs:fontRef>
    <cs:spPr>
      <a:gradFill>
        <a:gsLst>
          <a:gs pos="0">
            <a:schemeClr val="phClr"/>
          </a:gs>
          <a:gs pos="46000">
            <a:schemeClr val="phClr"/>
          </a:gs>
          <a:gs pos="100000">
            <a:schemeClr val="phClr">
              <a:lumMod val="20000"/>
              <a:lumOff val="80000"/>
              <a:alpha val="0"/>
            </a:schemeClr>
          </a:gs>
        </a:gsLst>
        <a:path path="circle">
          <a:fillToRect l="50000" t="-80000" r="50000" b="180000"/>
        </a:path>
      </a:gradFill>
      <a:ln w="9525" cap="flat" cmpd="sng" algn="ctr">
        <a:solidFill>
          <a:schemeClr val="phClr">
            <a:shade val="95000"/>
          </a:schemeClr>
        </a:solidFill>
        <a:round/>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65000"/>
            <a:lumOff val="35000"/>
          </a:schemeClr>
        </a:solidFill>
      </a:ln>
    </cs:spPr>
  </cs:downBar>
  <cs:dropLine>
    <cs:lnRef idx="0"/>
    <cs:fillRef idx="0"/>
    <cs:effectRef idx="0"/>
    <cs:fontRef idx="minor">
      <a:schemeClr val="dk1"/>
    </cs:fontRef>
    <cs:spPr>
      <a:ln w="9525">
        <a:solidFill>
          <a:schemeClr val="tx1">
            <a:lumMod val="35000"/>
            <a:lumOff val="65000"/>
          </a:schemeClr>
        </a:solidFill>
      </a:ln>
    </cs:spPr>
  </cs:dropLine>
  <cs:errorBar>
    <cs:lnRef idx="0"/>
    <cs:fillRef idx="0"/>
    <cs:effectRef idx="0"/>
    <cs:fontRef idx="minor">
      <a:schemeClr val="dk1"/>
    </cs:fontRef>
    <cs:spPr>
      <a:ln w="9525" cap="flat" cmpd="sng" algn="ctr">
        <a:solidFill>
          <a:schemeClr val="tx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gradFill>
          <a:gsLst>
            <a:gs pos="99000">
              <a:schemeClr val="tx1">
                <a:lumMod val="25000"/>
                <a:lumOff val="75000"/>
              </a:schemeClr>
            </a:gs>
            <a:gs pos="0">
              <a:schemeClr val="tx1">
                <a:lumMod val="15000"/>
                <a:lumOff val="85000"/>
              </a:schemeClr>
            </a:gs>
          </a:gsLst>
          <a:lin ang="5400000" scaled="0"/>
        </a:gradFill>
        <a:round/>
      </a:ln>
    </cs:spPr>
  </cs:gridlineMajor>
  <cs:gridlineMinor>
    <cs:lnRef idx="0"/>
    <cs:fillRef idx="0"/>
    <cs:effectRef idx="0"/>
    <cs:fontRef idx="minor">
      <a:schemeClr val="dk1"/>
    </cs:fontRef>
    <cs:spPr>
      <a:ln w="9525" cap="flat" cmpd="sng" algn="ctr">
        <a:gradFill>
          <a:gsLst>
            <a:gs pos="100000">
              <a:schemeClr val="tx1">
                <a:lumMod val="15000"/>
                <a:lumOff val="85000"/>
              </a:schemeClr>
            </a:gs>
            <a:gs pos="0">
              <a:schemeClr val="tx1">
                <a:lumMod val="5000"/>
                <a:lumOff val="95000"/>
              </a:schemeClr>
            </a:gs>
          </a:gsLst>
          <a:lin ang="5400000" scaled="0"/>
        </a:gradFill>
        <a:round/>
      </a:ln>
    </cs:spPr>
  </cs:gridlineMinor>
  <cs:hiLoLine>
    <cs:lnRef idx="0"/>
    <cs:fillRef idx="0"/>
    <cs:effectRef idx="0"/>
    <cs:fontRef idx="minor">
      <a:schemeClr val="dk1"/>
    </cs:fontRef>
    <cs:spPr>
      <a:ln w="9525">
        <a:solidFill>
          <a:schemeClr val="tx1">
            <a:lumMod val="50000"/>
            <a:lumOff val="50000"/>
          </a:schemeClr>
        </a:solidFill>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headEnd type="none" w="sm" len="sm"/>
        <a:tailEnd type="none" w="sm" len="sm"/>
      </a:ln>
    </cs:spPr>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inor">
      <a:schemeClr val="tx1">
        <a:lumMod val="65000"/>
        <a:lumOff val="35000"/>
      </a:schemeClr>
    </cs:fontRef>
    <cs:defRPr sz="1800" b="1" kern="1200" cap="all" spc="50" baseline="0"/>
  </cs:title>
  <cs:trendline>
    <cs:lnRef idx="0">
      <cs:styleClr val="auto"/>
    </cs:lnRef>
    <cs:fillRef idx="0"/>
    <cs:effectRef idx="0"/>
    <cs:fontRef idx="minor">
      <a:schemeClr val="dk1"/>
    </cs:fontRef>
    <cs:spPr>
      <a:ln w="9525"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65000"/>
            <a:lumOff val="3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dk1"/>
    </cs:fontRef>
  </cs:wall>
</cs:chartStyle>
</file>

<file path=word/charts/style2.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02">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800" kern="1200" cap="all" spc="120" normalizeH="0" baseline="0"/>
  </cs:categoryAxis>
  <cs:chartArea mods="allowNoFillOverride allowNoLineOverride">
    <cs:lnRef idx="0"/>
    <cs:fillRef idx="0"/>
    <cs:effectRef idx="0"/>
    <cs:fontRef idx="minor">
      <a:schemeClr val="dk1"/>
    </cs:fontRef>
    <cs:spPr>
      <a:solidFill>
        <a:schemeClr val="lt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50000"/>
        <a:lumOff val="50000"/>
      </a:schemeClr>
    </cs:fontRef>
    <cs:defRPr sz="800" b="0" i="0" u="none" strike="noStrike" kern="1200" baseline="0"/>
    <cs:bodyPr rot="-5400000" spcFirstLastPara="1" vertOverflow="clip" horzOverflow="clip" vert="horz" wrap="square" lIns="38100" tIns="19050" rIns="38100" bIns="19050" anchor="ctr" anchorCtr="1">
      <a:spAutoFit/>
    </cs:bodyPr>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cs:spPr>
  </cs:dataPoint>
  <cs:dataPoint3D>
    <cs:lnRef idx="0"/>
    <cs:fillRef idx="0">
      <cs:styleClr val="auto"/>
    </cs:fillRef>
    <cs:effectRef idx="0"/>
    <cs:fontRef idx="minor">
      <a:schemeClr val="dk1"/>
    </cs:fontRef>
    <cs:spPr>
      <a:solidFill>
        <a:schemeClr val="phClr"/>
      </a:solidFill>
    </cs:spPr>
  </cs:dataPoint3D>
  <cs:dataPointLine>
    <cs:lnRef idx="0">
      <cs:styleClr val="auto"/>
    </cs:lnRef>
    <cs:fillRef idx="0"/>
    <cs:effectRef idx="0"/>
    <cs:fontRef idx="minor">
      <a:schemeClr val="dk1"/>
    </cs:fontRef>
    <cs:spPr>
      <a:ln w="22225" cap="rnd">
        <a:solidFill>
          <a:schemeClr val="phClr"/>
        </a:solidFill>
        <a:round/>
      </a:ln>
    </cs:spPr>
  </cs:dataPointLine>
  <cs:dataPointMarker>
    <cs:lnRef idx="0">
      <cs:styleClr val="auto"/>
    </cs:lnRef>
    <cs:fillRef idx="0">
      <cs:styleClr val="auto"/>
    </cs:fillRef>
    <cs:effectRef idx="0"/>
    <cs:fontRef idx="minor">
      <a:schemeClr val="dk1"/>
    </cs:fontRef>
    <cs:spPr>
      <a:solidFill>
        <a:schemeClr val="phClr"/>
      </a:solidFill>
      <a:ln w="9525">
        <a:solidFill>
          <a:schemeClr val="phClr"/>
        </a:solidFill>
        <a:round/>
      </a:ln>
    </cs:spPr>
  </cs:dataPointMarker>
  <cs:dataPointMarkerLayout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15000"/>
            <a:lumOff val="85000"/>
          </a:schemeClr>
        </a:solidFill>
      </a:ln>
    </cs:spPr>
  </cs:downBar>
  <cs:dropLine>
    <cs:lnRef idx="0"/>
    <cs:fillRef idx="0"/>
    <cs:effectRef idx="0"/>
    <cs:fontRef idx="minor">
      <a:schemeClr val="dk1"/>
    </cs:fontRef>
    <cs:spPr>
      <a:ln w="9525">
        <a:solidFill>
          <a:schemeClr val="tx1">
            <a:lumMod val="35000"/>
            <a:lumOff val="65000"/>
          </a:schemeClr>
        </a:solidFill>
      </a:ln>
    </cs:spPr>
  </cs:dropLine>
  <cs:errorBar>
    <cs:lnRef idx="0"/>
    <cs:fillRef idx="0"/>
    <cs:effectRef idx="0"/>
    <cs:fontRef idx="minor">
      <a:schemeClr val="dk1"/>
    </cs:fontRef>
    <cs:spPr>
      <a:ln w="9525">
        <a:solidFill>
          <a:schemeClr val="tx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tx1">
            <a:lumMod val="15000"/>
            <a:lumOff val="85000"/>
          </a:schemeClr>
        </a:solidFill>
        <a:round/>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50000"/>
            <a:lumOff val="50000"/>
          </a:schemeClr>
        </a:solidFill>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spc="120" normalizeH="0" baseline="0"/>
  </cs:title>
  <cs:trendline>
    <cs:lnRef idx="0">
      <cs:styleClr val="auto"/>
    </cs:lnRef>
    <cs:fillRef idx="0"/>
    <cs:effectRef idx="0"/>
    <cs:fontRef idx="minor">
      <a:schemeClr val="dk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800" kern="1200"/>
  </cs:trendlineLabel>
  <cs:upBar>
    <cs:lnRef idx="0"/>
    <cs:fillRef idx="0"/>
    <cs:effectRef idx="0"/>
    <cs:fontRef idx="minor">
      <a:schemeClr val="dk1"/>
    </cs:fontRef>
    <cs:spPr>
      <a:solidFill>
        <a:schemeClr val="lt1"/>
      </a:solidFill>
      <a:ln w="9525">
        <a:solidFill>
          <a:schemeClr val="tx1">
            <a:lumMod val="65000"/>
            <a:lumOff val="35000"/>
          </a:schemeClr>
        </a:solidFill>
      </a:ln>
    </cs:spPr>
  </cs:upBar>
  <cs:valueAxis>
    <cs:lnRef idx="0"/>
    <cs:fillRef idx="0"/>
    <cs:effectRef idx="0"/>
    <cs:fontRef idx="minor">
      <a:schemeClr val="tx1">
        <a:lumMod val="65000"/>
        <a:lumOff val="35000"/>
      </a:schemeClr>
    </cs:fontRef>
    <cs:spPr>
      <a:ln w="9525" cap="flat" cmpd="sng" algn="ctr">
        <a:solidFill>
          <a:schemeClr val="dk1">
            <a:lumMod val="15000"/>
            <a:lumOff val="85000"/>
          </a:schemeClr>
        </a:solidFill>
        <a:round/>
      </a:ln>
    </cs:spPr>
    <cs:defRPr sz="900" kern="1200"/>
  </cs:valueAxis>
  <cs:wall>
    <cs:lnRef idx="0"/>
    <cs:fillRef idx="0"/>
    <cs:effectRef idx="0"/>
    <cs:fontRef idx="minor">
      <a:schemeClr val="dk1"/>
    </cs:fontRef>
  </cs:wall>
</cs:chartStyle>
</file>

<file path=word/charts/style5.xml><?xml version="1.0" encoding="utf-8"?>
<cs:chartStyle xmlns:cs="http://schemas.microsoft.com/office/drawing/2012/chartStyle" xmlns:a="http://schemas.openxmlformats.org/drawingml/2006/main" id="202">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800" kern="1200" cap="all" spc="120" normalizeH="0" baseline="0"/>
  </cs:categoryAxis>
  <cs:chartArea mods="allowNoFillOverride allowNoLineOverride">
    <cs:lnRef idx="0"/>
    <cs:fillRef idx="0"/>
    <cs:effectRef idx="0"/>
    <cs:fontRef idx="minor">
      <a:schemeClr val="dk1"/>
    </cs:fontRef>
    <cs:spPr>
      <a:solidFill>
        <a:schemeClr val="lt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50000"/>
        <a:lumOff val="50000"/>
      </a:schemeClr>
    </cs:fontRef>
    <cs:defRPr sz="800" b="0" i="0" u="none" strike="noStrike" kern="1200" baseline="0"/>
    <cs:bodyPr rot="-5400000" spcFirstLastPara="1" vertOverflow="clip" horzOverflow="clip" vert="horz" wrap="square" lIns="38100" tIns="19050" rIns="38100" bIns="19050" anchor="ctr" anchorCtr="1">
      <a:spAutoFit/>
    </cs:bodyPr>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cs:spPr>
  </cs:dataPoint>
  <cs:dataPoint3D>
    <cs:lnRef idx="0"/>
    <cs:fillRef idx="0">
      <cs:styleClr val="auto"/>
    </cs:fillRef>
    <cs:effectRef idx="0"/>
    <cs:fontRef idx="minor">
      <a:schemeClr val="dk1"/>
    </cs:fontRef>
    <cs:spPr>
      <a:solidFill>
        <a:schemeClr val="phClr"/>
      </a:solidFill>
    </cs:spPr>
  </cs:dataPoint3D>
  <cs:dataPointLine>
    <cs:lnRef idx="0">
      <cs:styleClr val="auto"/>
    </cs:lnRef>
    <cs:fillRef idx="0"/>
    <cs:effectRef idx="0"/>
    <cs:fontRef idx="minor">
      <a:schemeClr val="dk1"/>
    </cs:fontRef>
    <cs:spPr>
      <a:ln w="22225" cap="rnd">
        <a:solidFill>
          <a:schemeClr val="phClr"/>
        </a:solidFill>
        <a:round/>
      </a:ln>
    </cs:spPr>
  </cs:dataPointLine>
  <cs:dataPointMarker>
    <cs:lnRef idx="0">
      <cs:styleClr val="auto"/>
    </cs:lnRef>
    <cs:fillRef idx="0">
      <cs:styleClr val="auto"/>
    </cs:fillRef>
    <cs:effectRef idx="0"/>
    <cs:fontRef idx="minor">
      <a:schemeClr val="dk1"/>
    </cs:fontRef>
    <cs:spPr>
      <a:solidFill>
        <a:schemeClr val="phClr"/>
      </a:solidFill>
      <a:ln w="9525">
        <a:solidFill>
          <a:schemeClr val="phClr"/>
        </a:solidFill>
        <a:round/>
      </a:ln>
    </cs:spPr>
  </cs:dataPointMarker>
  <cs:dataPointMarkerLayout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15000"/>
            <a:lumOff val="85000"/>
          </a:schemeClr>
        </a:solidFill>
      </a:ln>
    </cs:spPr>
  </cs:downBar>
  <cs:dropLine>
    <cs:lnRef idx="0"/>
    <cs:fillRef idx="0"/>
    <cs:effectRef idx="0"/>
    <cs:fontRef idx="minor">
      <a:schemeClr val="dk1"/>
    </cs:fontRef>
    <cs:spPr>
      <a:ln w="9525">
        <a:solidFill>
          <a:schemeClr val="tx1">
            <a:lumMod val="35000"/>
            <a:lumOff val="65000"/>
          </a:schemeClr>
        </a:solidFill>
      </a:ln>
    </cs:spPr>
  </cs:dropLine>
  <cs:errorBar>
    <cs:lnRef idx="0"/>
    <cs:fillRef idx="0"/>
    <cs:effectRef idx="0"/>
    <cs:fontRef idx="minor">
      <a:schemeClr val="dk1"/>
    </cs:fontRef>
    <cs:spPr>
      <a:ln w="9525">
        <a:solidFill>
          <a:schemeClr val="tx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tx1">
            <a:lumMod val="15000"/>
            <a:lumOff val="85000"/>
          </a:schemeClr>
        </a:solidFill>
        <a:round/>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50000"/>
            <a:lumOff val="50000"/>
          </a:schemeClr>
        </a:solidFill>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spc="120" normalizeH="0" baseline="0"/>
  </cs:title>
  <cs:trendline>
    <cs:lnRef idx="0">
      <cs:styleClr val="auto"/>
    </cs:lnRef>
    <cs:fillRef idx="0"/>
    <cs:effectRef idx="0"/>
    <cs:fontRef idx="minor">
      <a:schemeClr val="dk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800" kern="1200"/>
  </cs:trendlineLabel>
  <cs:upBar>
    <cs:lnRef idx="0"/>
    <cs:fillRef idx="0"/>
    <cs:effectRef idx="0"/>
    <cs:fontRef idx="minor">
      <a:schemeClr val="dk1"/>
    </cs:fontRef>
    <cs:spPr>
      <a:solidFill>
        <a:schemeClr val="lt1"/>
      </a:solidFill>
      <a:ln w="9525">
        <a:solidFill>
          <a:schemeClr val="tx1">
            <a:lumMod val="65000"/>
            <a:lumOff val="35000"/>
          </a:schemeClr>
        </a:solidFill>
      </a:ln>
    </cs:spPr>
  </cs:upBar>
  <cs:valueAxis>
    <cs:lnRef idx="0"/>
    <cs:fillRef idx="0"/>
    <cs:effectRef idx="0"/>
    <cs:fontRef idx="minor">
      <a:schemeClr val="tx1">
        <a:lumMod val="65000"/>
        <a:lumOff val="35000"/>
      </a:schemeClr>
    </cs:fontRef>
    <cs:spPr>
      <a:ln w="9525" cap="flat" cmpd="sng" algn="ctr">
        <a:solidFill>
          <a:schemeClr val="dk1">
            <a:lumMod val="15000"/>
            <a:lumOff val="85000"/>
          </a:schemeClr>
        </a:solidFill>
        <a:round/>
      </a:ln>
    </cs:spPr>
    <cs:defRPr sz="900" kern="1200"/>
  </cs:valueAxis>
  <cs:wall>
    <cs:lnRef idx="0"/>
    <cs:fillRef idx="0"/>
    <cs:effectRef idx="0"/>
    <cs:fontRef idx="minor">
      <a:schemeClr val="dk1"/>
    </cs:fontRef>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712</TotalTime>
  <Pages>23</Pages>
  <Words>8784</Words>
  <Characters>50072</Characters>
  <Application>Microsoft Office Word</Application>
  <DocSecurity>0</DocSecurity>
  <Lines>417</Lines>
  <Paragraphs>117</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Table 4 shows that SOCBs invest highest in Green SRF 820.31, SDBs in renewable e</vt:lpstr>
      <vt:lpstr>    Akther, S., &amp; Tariq, J. (2021). Customer Retention for Digital Banking: Applicat</vt:lpstr>
    </vt:vector>
  </TitlesOfParts>
  <Company/>
  <LinksUpToDate>false</LinksUpToDate>
  <CharactersWithSpaces>58739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Md.Ashraful Alam</dc:creator>
  <cp:keywords/>
  <dc:description/>
  <cp:lastModifiedBy>Md. Abul Kalam Azad</cp:lastModifiedBy>
  <cp:revision>74</cp:revision>
  <dcterms:created xsi:type="dcterms:W3CDTF">2024-07-11T12:24:00Z</dcterms:created>
  <dcterms:modified xsi:type="dcterms:W3CDTF">2024-10-19T17:36:00Z</dcterms:modified>
</cp:coreProperties>
</file>