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815" w:rsidRDefault="00ED0815" w:rsidP="004F6518">
      <w:pPr>
        <w:spacing w:before="100" w:beforeAutospacing="1" w:after="100" w:afterAutospacing="1" w:line="240" w:lineRule="auto"/>
        <w:jc w:val="center"/>
        <w:rPr>
          <w:rFonts w:ascii="Times New Roman" w:eastAsia="Times New Roman" w:hAnsi="Times New Roman" w:cs="Times New Roman"/>
          <w:b/>
          <w:sz w:val="32"/>
          <w:szCs w:val="32"/>
          <w:lang w:val="en-US"/>
        </w:rPr>
      </w:pPr>
      <w:r w:rsidRPr="004F6518">
        <w:rPr>
          <w:rFonts w:ascii="Times New Roman" w:eastAsia="Times New Roman" w:hAnsi="Times New Roman" w:cs="Times New Roman"/>
          <w:b/>
          <w:sz w:val="32"/>
          <w:szCs w:val="32"/>
          <w:lang w:val="en-US"/>
        </w:rPr>
        <w:t xml:space="preserve">Sustainable intention to Use </w:t>
      </w:r>
      <w:r w:rsidR="005D6E88">
        <w:rPr>
          <w:rFonts w:ascii="Times New Roman" w:eastAsia="Times New Roman" w:hAnsi="Times New Roman" w:cs="Times New Roman"/>
          <w:b/>
          <w:sz w:val="32"/>
          <w:szCs w:val="32"/>
          <w:lang w:val="en-US"/>
        </w:rPr>
        <w:t>Fintech</w:t>
      </w:r>
      <w:r w:rsidRPr="004F6518">
        <w:rPr>
          <w:rFonts w:ascii="Times New Roman" w:eastAsia="Times New Roman" w:hAnsi="Times New Roman" w:cs="Times New Roman"/>
          <w:b/>
          <w:sz w:val="32"/>
          <w:szCs w:val="32"/>
          <w:lang w:val="en-US"/>
        </w:rPr>
        <w:t xml:space="preserve"> among the Elderly People: A Developing Country Perspect</w:t>
      </w:r>
      <w:r w:rsidR="004F6518" w:rsidRPr="004F6518">
        <w:rPr>
          <w:rFonts w:ascii="Times New Roman" w:eastAsia="Times New Roman" w:hAnsi="Times New Roman" w:cs="Times New Roman"/>
          <w:b/>
          <w:sz w:val="32"/>
          <w:szCs w:val="32"/>
          <w:lang w:val="en-US"/>
        </w:rPr>
        <w:t>ive</w:t>
      </w:r>
    </w:p>
    <w:p w:rsidR="00770310" w:rsidRPr="00770310" w:rsidRDefault="00770310" w:rsidP="00770310">
      <w:pPr>
        <w:spacing w:before="100" w:beforeAutospacing="1" w:after="100" w:afterAutospacing="1" w:line="240" w:lineRule="auto"/>
        <w:rPr>
          <w:rFonts w:ascii="Times New Roman" w:eastAsia="Times New Roman" w:hAnsi="Times New Roman" w:cs="Times New Roman"/>
          <w:b/>
          <w:sz w:val="24"/>
          <w:szCs w:val="24"/>
          <w:lang w:val="en-US"/>
        </w:rPr>
      </w:pPr>
      <w:r w:rsidRPr="00770310">
        <w:rPr>
          <w:rFonts w:ascii="Times New Roman" w:eastAsia="Times New Roman" w:hAnsi="Times New Roman" w:cs="Times New Roman"/>
          <w:b/>
          <w:sz w:val="24"/>
          <w:szCs w:val="24"/>
          <w:lang w:val="en-US"/>
        </w:rPr>
        <w:t>Abstract:</w:t>
      </w:r>
    </w:p>
    <w:p w:rsidR="00770310" w:rsidRPr="00770310" w:rsidRDefault="00770310" w:rsidP="00770310">
      <w:pPr>
        <w:spacing w:before="100" w:beforeAutospacing="1" w:after="100" w:afterAutospacing="1" w:line="360" w:lineRule="auto"/>
        <w:jc w:val="both"/>
        <w:rPr>
          <w:rFonts w:ascii="Times New Roman" w:eastAsia="Times New Roman" w:hAnsi="Times New Roman" w:cs="Times New Roman"/>
          <w:sz w:val="24"/>
          <w:szCs w:val="24"/>
          <w:lang w:val="en-US"/>
        </w:rPr>
      </w:pPr>
      <w:r w:rsidRPr="00770310">
        <w:rPr>
          <w:rFonts w:ascii="Times New Roman" w:eastAsia="Times New Roman" w:hAnsi="Times New Roman" w:cs="Times New Roman"/>
          <w:sz w:val="24"/>
          <w:szCs w:val="24"/>
          <w:lang w:val="en-US"/>
        </w:rPr>
        <w:t>The growing elderly population presents significant challenges for sustainable finance systems, particularly in aging economies. This study investigates the intersection of financial technologies (</w:t>
      </w:r>
      <w:proofErr w:type="spellStart"/>
      <w:r w:rsidRPr="00770310">
        <w:rPr>
          <w:rFonts w:ascii="Times New Roman" w:eastAsia="Times New Roman" w:hAnsi="Times New Roman" w:cs="Times New Roman"/>
          <w:sz w:val="24"/>
          <w:szCs w:val="24"/>
          <w:lang w:val="en-US"/>
        </w:rPr>
        <w:t>FinTech</w:t>
      </w:r>
      <w:proofErr w:type="spellEnd"/>
      <w:r w:rsidRPr="00770310">
        <w:rPr>
          <w:rFonts w:ascii="Times New Roman" w:eastAsia="Times New Roman" w:hAnsi="Times New Roman" w:cs="Times New Roman"/>
          <w:sz w:val="24"/>
          <w:szCs w:val="24"/>
          <w:lang w:val="en-US"/>
        </w:rPr>
        <w:t xml:space="preserve">) and the elderly population, focusing on adoption barriers and enablers in various economic contexts. Using a mixed-method approach, this research collected data from surveys and interviews with elderly individuals across different regions to assess their readiness and willingness to embrace financial innovations like mobile banking and digital payment platforms. The findings indicate that user innovativeness, perceived security, and ease of use are critical factors influencing adoption among the elderly. In contrast, technological anxiety and lack of digital literacy emerged as primary barriers. This study contributes to understanding the role of </w:t>
      </w:r>
      <w:proofErr w:type="spellStart"/>
      <w:r w:rsidRPr="00770310">
        <w:rPr>
          <w:rFonts w:ascii="Times New Roman" w:eastAsia="Times New Roman" w:hAnsi="Times New Roman" w:cs="Times New Roman"/>
          <w:sz w:val="24"/>
          <w:szCs w:val="24"/>
          <w:lang w:val="en-US"/>
        </w:rPr>
        <w:t>FinTech</w:t>
      </w:r>
      <w:proofErr w:type="spellEnd"/>
      <w:r w:rsidRPr="00770310">
        <w:rPr>
          <w:rFonts w:ascii="Times New Roman" w:eastAsia="Times New Roman" w:hAnsi="Times New Roman" w:cs="Times New Roman"/>
          <w:sz w:val="24"/>
          <w:szCs w:val="24"/>
          <w:lang w:val="en-US"/>
        </w:rPr>
        <w:t xml:space="preserve"> in supporting the elderly's financial needs, suggesting policy interventions to improve inclusivity and digital financial literacy. By addressing these barriers, financial services can better support an agi</w:t>
      </w:r>
      <w:bookmarkStart w:id="0" w:name="_GoBack"/>
      <w:bookmarkEnd w:id="0"/>
      <w:r w:rsidRPr="00770310">
        <w:rPr>
          <w:rFonts w:ascii="Times New Roman" w:eastAsia="Times New Roman" w:hAnsi="Times New Roman" w:cs="Times New Roman"/>
          <w:sz w:val="24"/>
          <w:szCs w:val="24"/>
          <w:lang w:val="en-US"/>
        </w:rPr>
        <w:t>ng population, ensuring more equitable and sustainable financial systems.</w:t>
      </w:r>
    </w:p>
    <w:p w:rsidR="00770310" w:rsidRDefault="00770310" w:rsidP="00770310">
      <w:pPr>
        <w:spacing w:before="100" w:beforeAutospacing="1" w:after="100" w:afterAutospacing="1" w:line="360" w:lineRule="auto"/>
        <w:jc w:val="both"/>
        <w:rPr>
          <w:rFonts w:ascii="Times New Roman" w:eastAsia="Times New Roman" w:hAnsi="Times New Roman" w:cs="Times New Roman"/>
          <w:sz w:val="24"/>
          <w:szCs w:val="24"/>
          <w:lang w:val="en-US"/>
        </w:rPr>
      </w:pPr>
      <w:r w:rsidRPr="00770310">
        <w:rPr>
          <w:rFonts w:ascii="Times New Roman" w:eastAsia="Times New Roman" w:hAnsi="Times New Roman" w:cs="Times New Roman"/>
          <w:b/>
          <w:sz w:val="24"/>
          <w:szCs w:val="24"/>
          <w:lang w:val="en-US"/>
        </w:rPr>
        <w:t>Keywords:</w:t>
      </w:r>
      <w:r w:rsidRPr="00770310">
        <w:rPr>
          <w:rFonts w:ascii="Times New Roman" w:eastAsia="Times New Roman" w:hAnsi="Times New Roman" w:cs="Times New Roman"/>
          <w:sz w:val="24"/>
          <w:szCs w:val="24"/>
          <w:lang w:val="en-US"/>
        </w:rPr>
        <w:t xml:space="preserve"> Sustainable finance, </w:t>
      </w:r>
      <w:proofErr w:type="spellStart"/>
      <w:r w:rsidRPr="00770310">
        <w:rPr>
          <w:rFonts w:ascii="Times New Roman" w:eastAsia="Times New Roman" w:hAnsi="Times New Roman" w:cs="Times New Roman"/>
          <w:sz w:val="24"/>
          <w:szCs w:val="24"/>
          <w:lang w:val="en-US"/>
        </w:rPr>
        <w:t>FinTech</w:t>
      </w:r>
      <w:proofErr w:type="spellEnd"/>
      <w:r w:rsidRPr="00770310">
        <w:rPr>
          <w:rFonts w:ascii="Times New Roman" w:eastAsia="Times New Roman" w:hAnsi="Times New Roman" w:cs="Times New Roman"/>
          <w:sz w:val="24"/>
          <w:szCs w:val="24"/>
          <w:lang w:val="en-US"/>
        </w:rPr>
        <w:t>, elderly population, digital inclusion, financial literacy, adoption barriers</w:t>
      </w:r>
    </w:p>
    <w:p w:rsidR="00770310" w:rsidRPr="00770310" w:rsidRDefault="00770310" w:rsidP="00770310">
      <w:pPr>
        <w:spacing w:before="100" w:beforeAutospacing="1" w:after="100" w:afterAutospacing="1" w:line="240" w:lineRule="auto"/>
        <w:rPr>
          <w:rFonts w:ascii="Times New Roman" w:eastAsia="Times New Roman" w:hAnsi="Times New Roman" w:cs="Times New Roman"/>
          <w:sz w:val="24"/>
          <w:szCs w:val="24"/>
          <w:lang w:val="en-US"/>
        </w:rPr>
      </w:pPr>
    </w:p>
    <w:p w:rsidR="005400A5" w:rsidRPr="00632E5D" w:rsidRDefault="00D16D0F" w:rsidP="00D2103F">
      <w:pPr>
        <w:spacing w:before="100" w:beforeAutospacing="1" w:after="100" w:afterAutospacing="1"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1.</w:t>
      </w:r>
      <w:r w:rsidR="00770310">
        <w:rPr>
          <w:rFonts w:ascii="Times New Roman" w:eastAsia="Times New Roman" w:hAnsi="Times New Roman" w:cs="Times New Roman"/>
          <w:b/>
          <w:sz w:val="24"/>
          <w:szCs w:val="24"/>
          <w:lang w:val="en-US"/>
        </w:rPr>
        <w:t xml:space="preserve"> </w:t>
      </w:r>
      <w:r w:rsidR="00A95089">
        <w:rPr>
          <w:rFonts w:ascii="Times New Roman" w:eastAsia="Times New Roman" w:hAnsi="Times New Roman" w:cs="Times New Roman"/>
          <w:b/>
          <w:sz w:val="24"/>
          <w:szCs w:val="24"/>
          <w:lang w:val="en-US"/>
        </w:rPr>
        <w:t>Introduction:</w:t>
      </w:r>
    </w:p>
    <w:p w:rsidR="00A77ACD" w:rsidRPr="00A77ACD" w:rsidRDefault="00A77ACD" w:rsidP="004F6518">
      <w:pPr>
        <w:spacing w:before="100" w:beforeAutospacing="1" w:after="100" w:afterAutospacing="1" w:line="360" w:lineRule="auto"/>
        <w:jc w:val="both"/>
        <w:rPr>
          <w:rFonts w:ascii="Times New Roman" w:eastAsia="Times New Roman" w:hAnsi="Times New Roman" w:cs="Times New Roman"/>
          <w:sz w:val="24"/>
          <w:szCs w:val="24"/>
          <w:lang w:val="en-US"/>
        </w:rPr>
      </w:pPr>
      <w:r w:rsidRPr="00A77ACD">
        <w:rPr>
          <w:rFonts w:ascii="Times New Roman" w:eastAsia="Times New Roman" w:hAnsi="Times New Roman" w:cs="Times New Roman"/>
          <w:sz w:val="24"/>
          <w:szCs w:val="24"/>
          <w:lang w:val="en-US"/>
        </w:rPr>
        <w:t>The emergence of Industry 4.0 technologies has led to the vast</w:t>
      </w:r>
      <w:r w:rsidR="00A95089">
        <w:rPr>
          <w:rFonts w:ascii="Times New Roman" w:eastAsia="Times New Roman" w:hAnsi="Times New Roman" w:cs="Times New Roman"/>
          <w:sz w:val="24"/>
          <w:szCs w:val="24"/>
          <w:lang w:val="en-US"/>
        </w:rPr>
        <w:t xml:space="preserve"> </w:t>
      </w:r>
      <w:r w:rsidRPr="00A77ACD">
        <w:rPr>
          <w:rFonts w:ascii="Times New Roman" w:eastAsia="Times New Roman" w:hAnsi="Times New Roman" w:cs="Times New Roman"/>
          <w:sz w:val="24"/>
          <w:szCs w:val="24"/>
          <w:lang w:val="en-US"/>
        </w:rPr>
        <w:t xml:space="preserve">of various digital innovations across different sectors, including financial services and manufacturing. These technologies are aimed at improving efficiency that can be beneficial in the context of globalized markets. In particular,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services hold significant potential in supporting sustainability as they simplify existing financial procedures and provide inexpensive access to resources which can influence economic development and quality of life</w:t>
      </w:r>
      <w:r w:rsidR="001D0A37">
        <w:rPr>
          <w:rFonts w:ascii="Times New Roman" w:eastAsia="Times New Roman" w:hAnsi="Times New Roman" w:cs="Times New Roman"/>
          <w:sz w:val="24"/>
          <w:szCs w:val="24"/>
          <w:lang w:val="en-US"/>
        </w:rPr>
        <w:t xml:space="preserve"> </w:t>
      </w:r>
      <w:r w:rsidR="001D0A37">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&lt;EndNote&gt;&lt;Cite&gt;&lt;Author&gt;Abdul-Rahim&lt;/Author&gt;&lt;Year&gt;2022&lt;/Year&gt;&lt;RecNum&gt;887&lt;/RecNum&gt;&lt;DisplayText&gt;(Abdul-Rahim, Bohari, Aman, &amp;amp; Awang, 2022)&lt;/DisplayText&gt;&lt;record&gt;&lt;rec-number&gt;887&lt;/rec-number&gt;&lt;foreign-keys&gt;&lt;key app="EN" db-id="a2rsvzpeof2293e9sebptwz9ezdwezd52ax5" timestamp="1729239273"&gt;887&lt;/key&gt;&lt;/foreign-keys&gt;&lt;ref-type name="Electronic Article"&gt;43&lt;/ref-type&gt;&lt;contributors&gt;&lt;authors&gt;&lt;author&gt;Abdul-Rahim, Ruzita&lt;/author&gt;&lt;author&gt;Bohari, Siti A.&lt;/author&gt;&lt;author&gt;Aman, Aini&lt;/author&gt;&lt;author&gt;Awang, Zainudin&lt;/author&gt;&lt;/authors&gt;&lt;/contributors&gt;&lt;titles&gt;&lt;title&gt;Benefit–Risk Perceptions of FinTech Adoption for Sustainability from Bank Consumers’ Perspective: The Moderating Role of Fear of COVID-19&lt;/title&gt;&lt;secondary-title&gt;Sustainability&lt;/secondary-title&gt;&lt;/titles&gt;&lt;periodical&gt;&lt;full-title&gt;Sustainability&lt;/full-title&gt;&lt;/periodical&gt;&lt;volume&gt;14&lt;/volume&gt;&lt;number&gt;14&lt;/number&gt;&lt;keywords&gt;&lt;keyword&gt;consumer sentiment&lt;/keyword&gt;&lt;keyword&gt;FinTech adoption&lt;/keyword&gt;&lt;keyword&gt;FinTech natives&lt;/keyword&gt;&lt;keyword&gt;sustainability&lt;/keyword&gt;&lt;keyword&gt;fear of COVID-19&lt;/keyword&gt;&lt;keyword&gt;protection motivation theory&lt;/keyword&gt;&lt;keyword&gt;net valence framework&lt;/keyword&gt;&lt;keyword&gt;sustainable information society theory&lt;/keyword&gt;&lt;/keywords&gt;&lt;dates&gt;&lt;year&gt;2022&lt;/year&gt;&lt;/dates&gt;&lt;isbn&gt;2071-1050&lt;/isbn&gt;&lt;urls&gt;&lt;/urls&gt;&lt;electronic-resource-num&gt;10.3390/su14148357&lt;/electronic-resource-num&gt;&lt;/record&gt;&lt;/Cite&gt;&lt;/EndNote&gt;</w:instrText>
      </w:r>
      <w:r w:rsidR="001D0A37">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(Abdul-Rahim, Bohari, Aman, &amp; Awang, 2022)</w:t>
      </w:r>
      <w:r w:rsidR="001D0A37">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xml:space="preserve">.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offers accumulated benefits of cost effectiveness, accessibility, and financial</w:t>
      </w:r>
      <w:r w:rsidR="00A95089">
        <w:rPr>
          <w:rFonts w:ascii="Times New Roman" w:eastAsia="Times New Roman" w:hAnsi="Times New Roman" w:cs="Times New Roman"/>
          <w:sz w:val="24"/>
          <w:szCs w:val="24"/>
          <w:lang w:val="en-US"/>
        </w:rPr>
        <w:t xml:space="preserve"> </w:t>
      </w:r>
      <w:r w:rsidRPr="00A77ACD">
        <w:rPr>
          <w:rFonts w:ascii="Times New Roman" w:eastAsia="Times New Roman" w:hAnsi="Times New Roman" w:cs="Times New Roman"/>
          <w:sz w:val="24"/>
          <w:szCs w:val="24"/>
          <w:lang w:val="en-US"/>
        </w:rPr>
        <w:t xml:space="preserve">inclusiveness through the provision of services like microfinance and crowdfunding. Besides,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contributes to the reduction in the energy used and is beneficial for the preservation of </w:t>
      </w:r>
      <w:r w:rsidRPr="00A77ACD">
        <w:rPr>
          <w:rFonts w:ascii="Times New Roman" w:eastAsia="Times New Roman" w:hAnsi="Times New Roman" w:cs="Times New Roman"/>
          <w:sz w:val="24"/>
          <w:szCs w:val="24"/>
          <w:lang w:val="en-US"/>
        </w:rPr>
        <w:lastRenderedPageBreak/>
        <w:t>the environment. However, these benefits are not fully realized in developing countries, such as Bangladesh, among retired government officials holding pensions.</w:t>
      </w:r>
    </w:p>
    <w:p w:rsidR="00A95089" w:rsidRDefault="00A77ACD" w:rsidP="004F6518">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A77ACD">
        <w:rPr>
          <w:rFonts w:ascii="Times New Roman" w:eastAsia="Times New Roman" w:hAnsi="Times New Roman" w:cs="Times New Roman"/>
          <w:sz w:val="24"/>
          <w:szCs w:val="24"/>
          <w:lang w:val="en-US"/>
        </w:rPr>
        <w:t xml:space="preserve">It is essential for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to be widely accepted for it to achieve its sustainability potential</w:t>
      </w:r>
      <w:r w:rsidR="00A91330">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&lt;EndNote&gt;&lt;Cite&gt;&lt;Author&gt;Deng&lt;/Author&gt;&lt;Year&gt;2019&lt;/Year&gt;&lt;RecNum&gt;889&lt;/RecNum&gt;&lt;DisplayText&gt;(Deng, Huang, &amp;amp; Cheng, 2019)&lt;/DisplayText&gt;&lt;record&gt;&lt;rec-number&gt;889&lt;/rec-number&gt;&lt;foreign-keys&gt;&lt;key app="EN" db-id="a2rsvzpeof2293e9sebptwz9ezdwezd52ax5" timestamp="1729243265"&gt;889&lt;/key&gt;&lt;/foreign-keys&gt;&lt;ref-type name="Electronic Article"&gt;43&lt;/ref-type&gt;&lt;contributors&gt;&lt;authors&gt;&lt;author&gt;Deng, Xiang&lt;/author&gt;&lt;author&gt;Huang, Zhi&lt;/author&gt;&lt;author&gt;Cheng, Xiang&lt;/author&gt;&lt;/authors&gt;&lt;/contributors&gt;&lt;titles&gt;&lt;title&gt;FinTech and Sustainable Development: Evidence from China Based on P2P Data&lt;/title&gt;&lt;secondary-title&gt;Sustainability&lt;/secondary-title&gt;&lt;/titles&gt;&lt;periodical&gt;&lt;full-title&gt;Sustainability&lt;/full-title&gt;&lt;/periodical&gt;&lt;volume&gt;11&lt;/volume&gt;&lt;number&gt;22&lt;/number&gt;&lt;keywords&gt;&lt;keyword&gt;financial technology&lt;/keyword&gt;&lt;keyword&gt;sustainable development&lt;/keyword&gt;&lt;keyword&gt;economic growth&lt;/keyword&gt;&lt;keyword&gt;social development&lt;/keyword&gt;&lt;keyword&gt;consumption emission&lt;/keyword&gt;&lt;keyword&gt;environmental governance&lt;/keyword&gt;&lt;keyword&gt;peer-to-peer&lt;/keyword&gt;&lt;/keywords&gt;&lt;dates&gt;&lt;year&gt;2019&lt;/year&gt;&lt;/dates&gt;&lt;isbn&gt;2071-1050&lt;/isbn&gt;&lt;urls&gt;&lt;/urls&gt;&lt;electronic-resource-num&gt;10.3390/su11226434&lt;/electronic-resource-num&gt;&lt;/record&gt;&lt;/Cite&gt;&lt;/EndNote&gt;</w:instrText>
      </w:r>
      <w:r w:rsidR="00A91330">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(Deng, Huang, &amp; Cheng, 2019)</w:t>
      </w:r>
      <w:r w:rsidR="00A91330">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These current and retired officials are the leading category in Bangladesh that are unwilling to adopt these services as they are betting and blame it on higher risks of privacy invasion, lack of security and integrity, fraud, and unclear legislation from which they are expected to benefit</w:t>
      </w:r>
      <w:r w:rsidR="00A91330">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&lt;EndNote&gt;&lt;Cite&gt;&lt;Author&gt;Giddings&lt;/Author&gt;&lt;Year&gt;2002&lt;/Year&gt;&lt;RecNum&gt;890&lt;/RecNum&gt;&lt;DisplayText&gt;(Giddings, Hopwood, &amp;amp; O&amp;apos;brien, 2002)&lt;/DisplayText&gt;&lt;record&gt;&lt;rec-number&gt;890&lt;/rec-number&gt;&lt;foreign-keys&gt;&lt;key app="EN" db-id="a2rsvzpeof2293e9sebptwz9ezdwezd52ax5" timestamp="1729243619"&gt;890&lt;/key&gt;&lt;/foreign-keys&gt;&lt;ref-type name="Journal Article"&gt;17&lt;/ref-type&gt;&lt;contributors&gt;&lt;authors&gt;&lt;author&gt;Giddings, Bob&lt;/author&gt;&lt;author&gt;Hopwood, Bill&lt;/author&gt;&lt;author&gt;O&amp;apos;brien, Geoff&lt;/author&gt;&lt;/authors&gt;&lt;/contributors&gt;&lt;titles&gt;&lt;title&gt;Environment, economy and society: fitting them together into sustainable development&lt;/title&gt;&lt;secondary-title&gt;Sustainable development&lt;/secondary-title&gt;&lt;/titles&gt;&lt;periodical&gt;&lt;full-title&gt;Sustainable development&lt;/full-title&gt;&lt;/periodical&gt;&lt;pages&gt;187-196&lt;/pages&gt;&lt;volume&gt;10&lt;/volume&gt;&lt;number&gt;4&lt;/number&gt;&lt;dates&gt;&lt;year&gt;2002&lt;/year&gt;&lt;/dates&gt;&lt;isbn&gt;0968-0802&lt;/isbn&gt;&lt;urls&gt;&lt;/urls&gt;&lt;/record&gt;&lt;/Cite&gt;&lt;/EndNote&gt;</w:instrText>
      </w:r>
      <w:r w:rsidR="00A91330">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(Giddings, Hopwood, &amp; O'brien, 2002)</w:t>
      </w:r>
      <w:r w:rsidR="00A91330">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xml:space="preserve">. Evidently, the potential benefits of the services in the form of convenience, safety, cost effectiveness, and efficiency are outweighed by the possibilities. Past studies on the adoption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have been emphasizing the advantages based on the assumptions of technology adoption models, such as TAM and U</w:t>
      </w:r>
      <w:r w:rsidR="00A95089">
        <w:rPr>
          <w:rFonts w:ascii="Times New Roman" w:eastAsia="Times New Roman" w:hAnsi="Times New Roman" w:cs="Times New Roman"/>
          <w:sz w:val="24"/>
          <w:szCs w:val="24"/>
          <w:lang w:val="en-US"/>
        </w:rPr>
        <w:t>TAUT</w:t>
      </w:r>
      <w:r w:rsidR="00A91330">
        <w:rPr>
          <w:rFonts w:ascii="Times New Roman" w:eastAsia="Times New Roman" w:hAnsi="Times New Roman" w:cs="Times New Roman"/>
          <w:sz w:val="24"/>
          <w:szCs w:val="24"/>
          <w:lang w:val="en-US"/>
        </w:rPr>
        <w:t xml:space="preserve"> </w:t>
      </w:r>
      <w:r w:rsidR="00A91330">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&lt;EndNote&gt;&lt;Cite&gt;&lt;Author&gt;Bajunaied&lt;/Author&gt;&lt;Year&gt;2023&lt;/Year&gt;&lt;RecNum&gt;891&lt;/RecNum&gt;&lt;DisplayText&gt;(Bajunaied, Hussin, &amp;amp; Kamarudin, 2023)&lt;/DisplayText&gt;&lt;record&gt;&lt;rec-number&gt;891&lt;/rec-number&gt;&lt;foreign-keys&gt;&lt;key app="EN" db-id="a2rsvzpeof2293e9sebptwz9ezdwezd52ax5" timestamp="1729243732"&gt;891&lt;/key&gt;&lt;/foreign-keys&gt;&lt;ref-type name="Journal Article"&gt;17&lt;/ref-type&gt;&lt;contributors&gt;&lt;authors&gt;&lt;author&gt;Bajunaied, Kholoud&lt;/author&gt;&lt;author&gt;Hussin, Nazimah&lt;/author&gt;&lt;author&gt;Kamarudin, Suzilawat&lt;/author&gt;&lt;/authors&gt;&lt;/contributors&gt;&lt;titles&gt;&lt;title&gt;Behavioral intention to adopt FinTech services: An extension of unified theory of acceptance and use of technology&lt;/title&gt;&lt;secondary-title&gt;Journal of Open Innovation: Technology, Market, and Complexity&lt;/secondary-title&gt;&lt;/titles&gt;&lt;periodical&gt;&lt;full-title&gt;Journal of Open Innovation: Technology, Market, and Complexity&lt;/full-title&gt;&lt;/periodical&gt;&lt;pages&gt;100010&lt;/pages&gt;&lt;volume&gt;9&lt;/volume&gt;&lt;number&gt;1&lt;/number&gt;&lt;keywords&gt;&lt;keyword&gt;Fintech&lt;/keyword&gt;&lt;keyword&gt;Privacy enablers&lt;/keyword&gt;&lt;keyword&gt;Privacy inhibitors&lt;/keyword&gt;&lt;keyword&gt;Behavioral intention&lt;/keyword&gt;&lt;keyword&gt;UTAUT&lt;/keyword&gt;&lt;keyword&gt;Saudi Arabia&lt;/keyword&gt;&lt;/keywords&gt;&lt;dates&gt;&lt;year&gt;2023&lt;/year&gt;&lt;pub-dates&gt;&lt;date&gt;2023/03/01/&lt;/date&gt;&lt;/pub-dates&gt;&lt;/dates&gt;&lt;isbn&gt;2199-8531&lt;/isbn&gt;&lt;urls&gt;&lt;related-urls&gt;&lt;url&gt;https://www.sciencedirect.com/science/article/pii/S2199853123001129&lt;/url&gt;&lt;/related-urls&gt;&lt;/urls&gt;&lt;electronic-resource-num&gt;https://doi.org/10.1016/j.joitmc.2023.100010&lt;/electronic-resource-num&gt;&lt;/record&gt;&lt;/Cite&gt;&lt;/EndNote&gt;</w:instrText>
      </w:r>
      <w:r w:rsidR="00A91330">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(Bajunaied, Hussin, &amp; Kamarudin, 2023)</w:t>
      </w:r>
      <w:r w:rsidR="00A91330">
        <w:rPr>
          <w:rFonts w:ascii="Times New Roman" w:eastAsia="Times New Roman" w:hAnsi="Times New Roman" w:cs="Times New Roman"/>
          <w:sz w:val="24"/>
          <w:szCs w:val="24"/>
          <w:lang w:val="en-US"/>
        </w:rPr>
        <w:fldChar w:fldCharType="end"/>
      </w:r>
      <w:r w:rsidR="00A95089">
        <w:rPr>
          <w:rFonts w:ascii="Times New Roman" w:eastAsia="Times New Roman" w:hAnsi="Times New Roman" w:cs="Times New Roman"/>
          <w:sz w:val="24"/>
          <w:szCs w:val="24"/>
          <w:lang w:val="en-US"/>
        </w:rPr>
        <w:t>. However, these frameworks</w:t>
      </w:r>
      <w:r w:rsidRPr="00A77ACD">
        <w:rPr>
          <w:rFonts w:ascii="Times New Roman" w:eastAsia="Times New Roman" w:hAnsi="Times New Roman" w:cs="Times New Roman"/>
          <w:sz w:val="24"/>
          <w:szCs w:val="24"/>
          <w:lang w:val="en-US"/>
        </w:rPr>
        <w:t xml:space="preserve"> fail to account for the potentially high risks alongside the potential benefits that are significant in the case with the vulnerable high risk group of retired government officials that depend on pensions</w:t>
      </w:r>
      <w:r w:rsidR="00A91330">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&lt;EndNote&gt;&lt;Cite&gt;&lt;Author&gt;Barr&lt;/Author&gt;&lt;Year&gt;2009&lt;/Year&gt;&lt;RecNum&gt;892&lt;/RecNum&gt;&lt;DisplayText&gt;(Barr &amp;amp; Diamond, 2009)&lt;/DisplayText&gt;&lt;record&gt;&lt;rec-number&gt;892&lt;/rec-number&gt;&lt;foreign-keys&gt;&lt;key app="EN" db-id="a2rsvzpeof2293e9sebptwz9ezdwezd52ax5" timestamp="1729243897"&gt;892&lt;/key&gt;&lt;/foreign-keys&gt;&lt;ref-type name="Journal Article"&gt;17&lt;/ref-type&gt;&lt;contributors&gt;&lt;authors&gt;&lt;author&gt;Barr, Nicholas&lt;/author&gt;&lt;author&gt;Diamond, Peter&lt;/author&gt;&lt;/authors&gt;&lt;/contributors&gt;&lt;titles&gt;&lt;title&gt;Reforming pensions: Principles, analytical errors and policy directions&lt;/title&gt;&lt;secondary-title&gt;International Social Security Review&lt;/secondary-title&gt;&lt;/titles&gt;&lt;periodical&gt;&lt;full-title&gt;International Social Security Review&lt;/full-title&gt;&lt;/periodical&gt;&lt;pages&gt;5-29&lt;/pages&gt;&lt;volume&gt;62&lt;/volume&gt;&lt;number&gt;2&lt;/number&gt;&lt;keywords&gt;&lt;keyword&gt;social security reform&lt;/keyword&gt;&lt;keyword&gt;social security planning&lt;/keyword&gt;&lt;keyword&gt;pension scheme&lt;/keyword&gt;&lt;keyword&gt;method of financing&lt;/keyword&gt;&lt;keyword&gt;international&lt;/keyword&gt;&lt;keyword&gt;World Bank&lt;/keyword&gt;&lt;/keywords&gt;&lt;dates&gt;&lt;year&gt;2009&lt;/year&gt;&lt;pub-dates&gt;&lt;date&gt;2009/04/01&lt;/date&gt;&lt;/pub-dates&gt;&lt;/dates&gt;&lt;publisher&gt;John Wiley &amp;amp; Sons, Ltd&lt;/publisher&gt;&lt;isbn&gt;0020-871X&lt;/isbn&gt;&lt;urls&gt;&lt;related-urls&gt;&lt;url&gt;https://doi.org/10.1111/j.1468-246X.2009.01327.x&lt;/url&gt;&lt;/related-urls&gt;&lt;/urls&gt;&lt;electronic-resource-num&gt;https://doi.org/10.1111/j.1468-246X.2009.01327.x&lt;/electronic-resource-num&gt;&lt;access-date&gt;2024/10/18&lt;/access-date&gt;&lt;/record&gt;&lt;/Cite&gt;&lt;/EndNote&gt;</w:instrText>
      </w:r>
      <w:r w:rsidR="00A91330">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(Barr &amp; Diamond, 2009)</w:t>
      </w:r>
      <w:r w:rsidR="00A91330">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xml:space="preserve">. </w:t>
      </w:r>
    </w:p>
    <w:p w:rsidR="00A77ACD" w:rsidRPr="00A77ACD" w:rsidRDefault="00A77ACD" w:rsidP="004F6518">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A77ACD">
        <w:rPr>
          <w:rFonts w:ascii="Times New Roman" w:eastAsia="Times New Roman" w:hAnsi="Times New Roman" w:cs="Times New Roman"/>
          <w:sz w:val="24"/>
          <w:szCs w:val="24"/>
          <w:lang w:val="en-US"/>
        </w:rPr>
        <w:t xml:space="preserve">Hence, this study is aimed at exploring the assessment and benefits among pension </w:t>
      </w:r>
      <w:r w:rsidR="00696B8A">
        <w:rPr>
          <w:rFonts w:ascii="Times New Roman" w:eastAsia="Times New Roman" w:hAnsi="Times New Roman" w:cs="Times New Roman"/>
          <w:sz w:val="24"/>
          <w:szCs w:val="24"/>
          <w:lang w:val="en-US"/>
        </w:rPr>
        <w:t>holding</w:t>
      </w:r>
      <w:r w:rsidRPr="00A77ACD">
        <w:rPr>
          <w:rFonts w:ascii="Times New Roman" w:eastAsia="Times New Roman" w:hAnsi="Times New Roman" w:cs="Times New Roman"/>
          <w:sz w:val="24"/>
          <w:szCs w:val="24"/>
          <w:lang w:val="en-US"/>
        </w:rPr>
        <w:t xml:space="preserve"> retired government officials in Bangladesh</w:t>
      </w:r>
      <w:r w:rsidR="004F6518">
        <w:rPr>
          <w:rFonts w:ascii="Times New Roman" w:eastAsia="Times New Roman" w:hAnsi="Times New Roman" w:cs="Times New Roman"/>
          <w:sz w:val="24"/>
          <w:szCs w:val="24"/>
          <w:lang w:val="en-US"/>
        </w:rPr>
        <w:t xml:space="preserve"> </w:t>
      </w:r>
      <w:r w:rsidR="00696B8A">
        <w:rPr>
          <w:rFonts w:ascii="Times New Roman" w:eastAsia="Times New Roman" w:hAnsi="Times New Roman" w:cs="Times New Roman"/>
          <w:sz w:val="24"/>
          <w:szCs w:val="24"/>
          <w:lang w:val="en-US"/>
        </w:rPr>
        <w:t>as the outbreak</w:t>
      </w:r>
      <w:r w:rsidRPr="00A77ACD">
        <w:rPr>
          <w:rFonts w:ascii="Times New Roman" w:eastAsia="Times New Roman" w:hAnsi="Times New Roman" w:cs="Times New Roman"/>
          <w:sz w:val="24"/>
          <w:szCs w:val="24"/>
          <w:lang w:val="en-US"/>
        </w:rPr>
        <w:t xml:space="preserve"> of COVID-19 has led to the universal adoption of digitizing and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services, such as online banking, e-wallets, and mobile payments. Though these services</w:t>
      </w:r>
      <w:r w:rsidR="00A95089">
        <w:rPr>
          <w:rFonts w:ascii="Times New Roman" w:eastAsia="Times New Roman" w:hAnsi="Times New Roman" w:cs="Times New Roman"/>
          <w:sz w:val="24"/>
          <w:szCs w:val="24"/>
          <w:lang w:val="en-US"/>
        </w:rPr>
        <w:t xml:space="preserve"> </w:t>
      </w:r>
      <w:r w:rsidRPr="00A77ACD">
        <w:rPr>
          <w:rFonts w:ascii="Times New Roman" w:eastAsia="Times New Roman" w:hAnsi="Times New Roman" w:cs="Times New Roman"/>
          <w:sz w:val="24"/>
          <w:szCs w:val="24"/>
          <w:lang w:val="en-US"/>
        </w:rPr>
        <w:t>remain</w:t>
      </w:r>
      <w:r w:rsidR="00A95089">
        <w:rPr>
          <w:rFonts w:ascii="Times New Roman" w:eastAsia="Times New Roman" w:hAnsi="Times New Roman" w:cs="Times New Roman"/>
          <w:sz w:val="24"/>
          <w:szCs w:val="24"/>
          <w:lang w:val="en-US"/>
        </w:rPr>
        <w:t xml:space="preserve"> </w:t>
      </w:r>
      <w:r w:rsidRPr="00A77ACD">
        <w:rPr>
          <w:rFonts w:ascii="Times New Roman" w:eastAsia="Times New Roman" w:hAnsi="Times New Roman" w:cs="Times New Roman"/>
          <w:sz w:val="24"/>
          <w:szCs w:val="24"/>
          <w:lang w:val="en-US"/>
        </w:rPr>
        <w:t xml:space="preserve">of current question regarding their safety and integrity among the retired systems administrators who might not have not utilized them after the investigation on their </w:t>
      </w:r>
      <w:r w:rsidR="004F6518">
        <w:rPr>
          <w:rFonts w:ascii="Times New Roman" w:eastAsia="Times New Roman" w:hAnsi="Times New Roman" w:cs="Times New Roman"/>
          <w:sz w:val="24"/>
          <w:szCs w:val="24"/>
          <w:lang w:val="en-US"/>
        </w:rPr>
        <w:t>benefits. T</w:t>
      </w:r>
      <w:r w:rsidRPr="00A77ACD">
        <w:rPr>
          <w:rFonts w:ascii="Times New Roman" w:eastAsia="Times New Roman" w:hAnsi="Times New Roman" w:cs="Times New Roman"/>
          <w:sz w:val="24"/>
          <w:szCs w:val="24"/>
          <w:lang w:val="en-US"/>
        </w:rPr>
        <w:t xml:space="preserve">his study will explore how the </w:t>
      </w:r>
      <w:r w:rsidR="004F6518">
        <w:rPr>
          <w:rFonts w:ascii="Times New Roman" w:eastAsia="Times New Roman" w:hAnsi="Times New Roman" w:cs="Times New Roman"/>
          <w:sz w:val="24"/>
          <w:szCs w:val="24"/>
          <w:lang w:val="en-US"/>
        </w:rPr>
        <w:t xml:space="preserve">usefulness, service confirmation, </w:t>
      </w:r>
      <w:r w:rsidR="00696B8A">
        <w:rPr>
          <w:rFonts w:ascii="Times New Roman" w:eastAsia="Times New Roman" w:hAnsi="Times New Roman" w:cs="Times New Roman"/>
          <w:sz w:val="24"/>
          <w:szCs w:val="24"/>
          <w:lang w:val="en-US"/>
        </w:rPr>
        <w:t>users’</w:t>
      </w:r>
      <w:r w:rsidR="004F6518">
        <w:rPr>
          <w:rFonts w:ascii="Times New Roman" w:eastAsia="Times New Roman" w:hAnsi="Times New Roman" w:cs="Times New Roman"/>
          <w:sz w:val="24"/>
          <w:szCs w:val="24"/>
          <w:lang w:val="en-US"/>
        </w:rPr>
        <w:t xml:space="preserve"> experiences and trust issues</w:t>
      </w:r>
      <w:r w:rsidRPr="00A77ACD">
        <w:rPr>
          <w:rFonts w:ascii="Times New Roman" w:eastAsia="Times New Roman" w:hAnsi="Times New Roman" w:cs="Times New Roman"/>
          <w:sz w:val="24"/>
          <w:szCs w:val="24"/>
          <w:lang w:val="en-US"/>
        </w:rPr>
        <w:t xml:space="preserve">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are affecting its sustainability adoption</w:t>
      </w:r>
      <w:r w:rsidR="004F6518">
        <w:rPr>
          <w:rFonts w:ascii="Times New Roman" w:eastAsia="Times New Roman" w:hAnsi="Times New Roman" w:cs="Times New Roman"/>
          <w:sz w:val="24"/>
          <w:szCs w:val="24"/>
          <w:lang w:val="en-US"/>
        </w:rPr>
        <w:t xml:space="preserve"> among the elderly</w:t>
      </w:r>
      <w:r w:rsidRPr="00A77ACD">
        <w:rPr>
          <w:rFonts w:ascii="Times New Roman" w:eastAsia="Times New Roman" w:hAnsi="Times New Roman" w:cs="Times New Roman"/>
          <w:sz w:val="24"/>
          <w:szCs w:val="24"/>
          <w:lang w:val="en-US"/>
        </w:rPr>
        <w:t xml:space="preserve"> </w:t>
      </w:r>
      <w:r w:rsidR="004F6518">
        <w:rPr>
          <w:rFonts w:ascii="Times New Roman" w:eastAsia="Times New Roman" w:hAnsi="Times New Roman" w:cs="Times New Roman"/>
          <w:sz w:val="24"/>
          <w:szCs w:val="24"/>
          <w:lang w:val="en-US"/>
        </w:rPr>
        <w:t>of</w:t>
      </w:r>
      <w:r w:rsidR="00696B8A">
        <w:rPr>
          <w:rFonts w:ascii="Times New Roman" w:eastAsia="Times New Roman" w:hAnsi="Times New Roman" w:cs="Times New Roman"/>
          <w:sz w:val="24"/>
          <w:szCs w:val="24"/>
          <w:lang w:val="en-US"/>
        </w:rPr>
        <w:t xml:space="preserve"> Bangladesh</w:t>
      </w:r>
      <w:r w:rsidRPr="00A77ACD">
        <w:rPr>
          <w:rFonts w:ascii="Times New Roman" w:eastAsia="Times New Roman" w:hAnsi="Times New Roman" w:cs="Times New Roman"/>
          <w:sz w:val="24"/>
          <w:szCs w:val="24"/>
          <w:lang w:val="en-US"/>
        </w:rPr>
        <w:t xml:space="preserve">. As a result, these findings can be beneficial to service providers and policymakers as they inform them on the adoption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and improving the</w:t>
      </w:r>
      <w:r w:rsidR="00CC7827">
        <w:rPr>
          <w:rFonts w:ascii="Times New Roman" w:eastAsia="Times New Roman" w:hAnsi="Times New Roman" w:cs="Times New Roman"/>
          <w:sz w:val="24"/>
          <w:szCs w:val="24"/>
          <w:lang w:val="en-US"/>
        </w:rPr>
        <w:t xml:space="preserve"> </w:t>
      </w:r>
      <w:r w:rsidRPr="00A77ACD">
        <w:rPr>
          <w:rFonts w:ascii="Times New Roman" w:eastAsia="Times New Roman" w:hAnsi="Times New Roman" w:cs="Times New Roman"/>
          <w:sz w:val="24"/>
          <w:szCs w:val="24"/>
          <w:lang w:val="en-US"/>
        </w:rPr>
        <w:t>attributing of digital literacy efforts targeting retired government officials in Bangladesh.</w:t>
      </w:r>
    </w:p>
    <w:p w:rsidR="00D2103F" w:rsidRPr="00A95089" w:rsidRDefault="00D16D0F" w:rsidP="00D2103F">
      <w:pPr>
        <w:spacing w:before="100" w:beforeAutospacing="1" w:after="100" w:afterAutospacing="1"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r w:rsidR="00F96FC1">
        <w:rPr>
          <w:rFonts w:ascii="Times New Roman" w:eastAsia="Times New Roman" w:hAnsi="Times New Roman" w:cs="Times New Roman"/>
          <w:b/>
          <w:sz w:val="24"/>
          <w:szCs w:val="24"/>
          <w:lang w:val="en-US"/>
        </w:rPr>
        <w:t xml:space="preserve"> </w:t>
      </w:r>
      <w:r w:rsidR="00A95089" w:rsidRPr="00A95089">
        <w:rPr>
          <w:rFonts w:ascii="Times New Roman" w:eastAsia="Times New Roman" w:hAnsi="Times New Roman" w:cs="Times New Roman"/>
          <w:b/>
          <w:sz w:val="24"/>
          <w:szCs w:val="24"/>
          <w:lang w:val="en-US"/>
        </w:rPr>
        <w:t xml:space="preserve">Literature Review: </w:t>
      </w:r>
    </w:p>
    <w:p w:rsidR="00A77ACD" w:rsidRPr="004F6518" w:rsidRDefault="005D6E88" w:rsidP="004F6518">
      <w:pPr>
        <w:spacing w:before="100" w:beforeAutospacing="1" w:after="100" w:afterAutospacing="1"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Fintech</w:t>
      </w:r>
      <w:r w:rsidR="00A77ACD" w:rsidRPr="004F6518">
        <w:rPr>
          <w:rFonts w:ascii="Times New Roman" w:eastAsia="Times New Roman" w:hAnsi="Times New Roman" w:cs="Times New Roman"/>
          <w:b/>
          <w:sz w:val="24"/>
          <w:szCs w:val="24"/>
          <w:lang w:val="en-US"/>
        </w:rPr>
        <w:t xml:space="preserve"> and Sustainability</w:t>
      </w:r>
    </w:p>
    <w:p w:rsidR="00A77ACD" w:rsidRPr="00A77ACD" w:rsidRDefault="005D6E88" w:rsidP="004F6518">
      <w:pPr>
        <w:spacing w:before="100" w:beforeAutospacing="1" w:after="100" w:afterAutospacing="1"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Fintech</w:t>
      </w:r>
      <w:r w:rsidR="00A77ACD" w:rsidRPr="00A77ACD">
        <w:rPr>
          <w:rFonts w:ascii="Times New Roman" w:eastAsia="Times New Roman" w:hAnsi="Times New Roman" w:cs="Times New Roman"/>
          <w:sz w:val="24"/>
          <w:szCs w:val="24"/>
          <w:lang w:val="en-US"/>
        </w:rPr>
        <w:t xml:space="preserve"> has received increasing attention as a potential contributor to sustainability. For example, the UN 2020 has reported that leveraging </w:t>
      </w:r>
      <w:r>
        <w:rPr>
          <w:rFonts w:ascii="Times New Roman" w:eastAsia="Times New Roman" w:hAnsi="Times New Roman" w:cs="Times New Roman"/>
          <w:sz w:val="24"/>
          <w:szCs w:val="24"/>
          <w:lang w:val="en-US"/>
        </w:rPr>
        <w:t>Fintech</w:t>
      </w:r>
      <w:r w:rsidR="00A77ACD" w:rsidRPr="00A77ACD">
        <w:rPr>
          <w:rFonts w:ascii="Times New Roman" w:eastAsia="Times New Roman" w:hAnsi="Times New Roman" w:cs="Times New Roman"/>
          <w:sz w:val="24"/>
          <w:szCs w:val="24"/>
          <w:lang w:val="en-US"/>
        </w:rPr>
        <w:t xml:space="preserve"> to drive financial inclusion can be associated with many key SDGs, such as fighting poverty and enabling the development of more inclusive and sustainable economies</w:t>
      </w:r>
      <w:r w:rsidR="0070230C">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&lt;EndNote&gt;&lt;Cite&gt;&lt;Author&gt;Duvendack&lt;/Author&gt;&lt;Year&gt;2023&lt;/Year&gt;&lt;RecNum&gt;893&lt;/RecNum&gt;&lt;DisplayText&gt;(Duvendack, Sonne, &amp;amp; Garikipati, 2023)&lt;/DisplayText&gt;&lt;record&gt;&lt;rec-number&gt;893&lt;/rec-number&gt;&lt;foreign-keys&gt;&lt;key app="EN" db-id="a2rsvzpeof2293e9sebptwz9ezdwezd52ax5" timestamp="1729252345"&gt;893&lt;/key&gt;&lt;/foreign-keys&gt;&lt;ref-type name="Journal Article"&gt;17&lt;/ref-type&gt;&lt;contributors&gt;&lt;authors&gt;&lt;author&gt;Duvendack, Maren&lt;/author&gt;&lt;author&gt;Sonne, Lina&lt;/author&gt;&lt;author&gt;Garikipati, Supriya&lt;/author&gt;&lt;/authors&gt;&lt;/contributors&gt;&lt;titles&gt;&lt;title&gt;Gender Inclusivity of India’s Digital Financial Revolution for Attainment of SDGs: Macro Achievements and the Micro Experiences of Targeted Initiatives&lt;/title&gt;&lt;secondary-title&gt;The European Journal of Development Research&lt;/secondary-title&gt;&lt;/titles&gt;&lt;periodical&gt;&lt;full-title&gt;The European Journal of Development Research&lt;/full-title&gt;&lt;/periodical&gt;&lt;pages&gt;1369-1391&lt;/pages&gt;&lt;volume&gt;35&lt;/volume&gt;&lt;number&gt;6&lt;/number&gt;&lt;dates&gt;&lt;year&gt;2023&lt;/year&gt;&lt;pub-dates&gt;&lt;date&gt;2023/12/01&lt;/date&gt;&lt;/pub-dates&gt;&lt;/dates&gt;&lt;isbn&gt;1743-9728&lt;/isbn&gt;&lt;urls&gt;&lt;related-urls&gt;&lt;url&gt;https://doi.org/10.1057/s41287-023-00585-x&lt;/url&gt;&lt;/related-urls&gt;&lt;/urls&gt;&lt;electronic-resource-num&gt;10.1057/s41287-023-00585-x&lt;/electronic-resource-num&gt;&lt;/record&gt;&lt;/Cite&gt;&lt;/EndNote&gt;</w:instrText>
      </w:r>
      <w:r w:rsidR="0070230C">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(Duvendack, Sonne, &amp; Garikipati, 2023)</w:t>
      </w:r>
      <w:r w:rsidR="0070230C">
        <w:rPr>
          <w:rFonts w:ascii="Times New Roman" w:eastAsia="Times New Roman" w:hAnsi="Times New Roman" w:cs="Times New Roman"/>
          <w:sz w:val="24"/>
          <w:szCs w:val="24"/>
          <w:lang w:val="en-US"/>
        </w:rPr>
        <w:fldChar w:fldCharType="end"/>
      </w:r>
      <w:r w:rsidR="00A77ACD" w:rsidRPr="00A77ACD">
        <w:rPr>
          <w:rFonts w:ascii="Times New Roman" w:eastAsia="Times New Roman" w:hAnsi="Times New Roman" w:cs="Times New Roman"/>
          <w:sz w:val="24"/>
          <w:szCs w:val="24"/>
          <w:lang w:val="en-US"/>
        </w:rPr>
        <w:t xml:space="preserve">. A study by Zhang et al. provided support for this observation by presenting evidence that the integration of </w:t>
      </w:r>
      <w:r>
        <w:rPr>
          <w:rFonts w:ascii="Times New Roman" w:eastAsia="Times New Roman" w:hAnsi="Times New Roman" w:cs="Times New Roman"/>
          <w:sz w:val="24"/>
          <w:szCs w:val="24"/>
          <w:lang w:val="en-US"/>
        </w:rPr>
        <w:t>Fintech</w:t>
      </w:r>
      <w:r w:rsidR="00A77ACD" w:rsidRPr="00A77ACD">
        <w:rPr>
          <w:rFonts w:ascii="Times New Roman" w:eastAsia="Times New Roman" w:hAnsi="Times New Roman" w:cs="Times New Roman"/>
          <w:sz w:val="24"/>
          <w:szCs w:val="24"/>
          <w:lang w:val="en-US"/>
        </w:rPr>
        <w:t xml:space="preserve"> could increase the ability of women in differently marginalized groups to reach financial tools and subscriptions</w:t>
      </w:r>
      <w:r w:rsidR="0070230C">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&lt;EndNote&gt;&lt;Cite&gt;&lt;Author&gt;Esmaeilpour Moghadam&lt;/Author&gt;&lt;Year&gt;2023&lt;/Year&gt;&lt;RecNum&gt;894&lt;/RecNum&gt;&lt;DisplayText&gt;(Esmaeilpour Moghadam &amp;amp; Karami, 2023)&lt;/DisplayText&gt;&lt;record&gt;&lt;rec-number&gt;894&lt;/rec-number&gt;&lt;foreign-keys&gt;&lt;key app="EN" db-id="a2rsvzpeof2293e9sebptwz9ezdwezd52ax5" timestamp="1729252482"&gt;894&lt;/key&gt;&lt;/foreign-keys&gt;&lt;ref-type name="Journal Article"&gt;17&lt;/ref-type&gt;&lt;contributors&gt;&lt;authors&gt;&lt;author&gt;Esmaeilpour Moghadam, Hadi&lt;/author&gt;&lt;author&gt;Karami, Arezou&lt;/author&gt;&lt;/authors&gt;&lt;/contributors&gt;&lt;titles&gt;&lt;title&gt;Financial inclusion through FinTech and women&amp;apos;s financial empowerment&lt;/title&gt;&lt;secondary-title&gt;International Journal of Social Economics&lt;/secondary-title&gt;&lt;/titles&gt;&lt;periodical&gt;&lt;full-title&gt;International Journal of Social Economics&lt;/full-title&gt;&lt;/periodical&gt;&lt;pages&gt;1038-1059&lt;/pages&gt;&lt;volume&gt;50&lt;/volume&gt;&lt;number&gt;8&lt;/number&gt;&lt;dates&gt;&lt;year&gt;2023&lt;/year&gt;&lt;/dates&gt;&lt;publisher&gt;Emerald Publishing Limited&lt;/publisher&gt;&lt;isbn&gt;0306-8293&lt;/isbn&gt;&lt;urls&gt;&lt;related-urls&gt;&lt;url&gt;https://doi.org/10.1108/IJSE-04-2022-0246&lt;/url&gt;&lt;/related-urls&gt;&lt;/urls&gt;&lt;electronic-resource-num&gt;10.1108/IJSE-04-2022-0246&lt;/electronic-resource-num&gt;&lt;access-date&gt;2024/10/18&lt;/access-date&gt;&lt;/record&gt;&lt;/Cite&gt;&lt;/EndNote&gt;</w:instrText>
      </w:r>
      <w:r w:rsidR="0070230C">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(Esmaeilpour Moghadam &amp; Karami, 2023)</w:t>
      </w:r>
      <w:r w:rsidR="0070230C">
        <w:rPr>
          <w:rFonts w:ascii="Times New Roman" w:eastAsia="Times New Roman" w:hAnsi="Times New Roman" w:cs="Times New Roman"/>
          <w:sz w:val="24"/>
          <w:szCs w:val="24"/>
          <w:lang w:val="en-US"/>
        </w:rPr>
        <w:fldChar w:fldCharType="end"/>
      </w:r>
      <w:r w:rsidR="00A77ACD" w:rsidRPr="00A77ACD">
        <w:rPr>
          <w:rFonts w:ascii="Times New Roman" w:eastAsia="Times New Roman" w:hAnsi="Times New Roman" w:cs="Times New Roman"/>
          <w:sz w:val="24"/>
          <w:szCs w:val="24"/>
          <w:lang w:val="en-US"/>
        </w:rPr>
        <w:t xml:space="preserve">. However, not only is the growth of </w:t>
      </w:r>
      <w:r>
        <w:rPr>
          <w:rFonts w:ascii="Times New Roman" w:eastAsia="Times New Roman" w:hAnsi="Times New Roman" w:cs="Times New Roman"/>
          <w:sz w:val="24"/>
          <w:szCs w:val="24"/>
          <w:lang w:val="en-US"/>
        </w:rPr>
        <w:t>Fintech</w:t>
      </w:r>
      <w:r w:rsidR="00A77ACD" w:rsidRPr="00A77ACD">
        <w:rPr>
          <w:rFonts w:ascii="Times New Roman" w:eastAsia="Times New Roman" w:hAnsi="Times New Roman" w:cs="Times New Roman"/>
          <w:sz w:val="24"/>
          <w:szCs w:val="24"/>
          <w:lang w:val="en-US"/>
        </w:rPr>
        <w:t xml:space="preserve"> positively associated with social sustainability, but it also plays its part in the maintenance of environmental sustainability. For example, </w:t>
      </w:r>
      <w:r w:rsidR="000C3867">
        <w:rPr>
          <w:rFonts w:ascii="Times New Roman" w:eastAsia="Times New Roman" w:hAnsi="Times New Roman" w:cs="Times New Roman"/>
          <w:sz w:val="24"/>
          <w:szCs w:val="24"/>
          <w:lang w:val="en-US"/>
        </w:rPr>
        <w:t>P. Roszkowska</w:t>
      </w:r>
      <w:r w:rsidR="00A77ACD" w:rsidRPr="00A77ACD">
        <w:rPr>
          <w:rFonts w:ascii="Times New Roman" w:eastAsia="Times New Roman" w:hAnsi="Times New Roman" w:cs="Times New Roman"/>
          <w:sz w:val="24"/>
          <w:szCs w:val="24"/>
          <w:lang w:val="en-US"/>
        </w:rPr>
        <w:t xml:space="preserve"> identified that the </w:t>
      </w:r>
      <w:r>
        <w:rPr>
          <w:rFonts w:ascii="Times New Roman" w:eastAsia="Times New Roman" w:hAnsi="Times New Roman" w:cs="Times New Roman"/>
          <w:sz w:val="24"/>
          <w:szCs w:val="24"/>
          <w:lang w:val="en-US"/>
        </w:rPr>
        <w:t>Fintech</w:t>
      </w:r>
      <w:r w:rsidR="00A77ACD" w:rsidRPr="00A77ACD">
        <w:rPr>
          <w:rFonts w:ascii="Times New Roman" w:eastAsia="Times New Roman" w:hAnsi="Times New Roman" w:cs="Times New Roman"/>
          <w:sz w:val="24"/>
          <w:szCs w:val="24"/>
          <w:lang w:val="en-US"/>
        </w:rPr>
        <w:t xml:space="preserve"> inherently doesn’t depend on physical centers and uses processes which are less material-intensive</w:t>
      </w:r>
      <w:r w:rsidR="000C3867">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&lt;EndNote&gt;&lt;Cite&gt;&lt;Author&gt;Roszkowska&lt;/Author&gt;&lt;Year&gt;2021&lt;/Year&gt;&lt;RecNum&gt;896&lt;/RecNum&gt;&lt;DisplayText&gt;(Roszkowska, 2021)&lt;/DisplayText&gt;&lt;record&gt;&lt;rec-number&gt;896&lt;/rec-number&gt;&lt;foreign-keys&gt;&lt;key app="EN" db-id="a2rsvzpeof2293e9sebptwz9ezdwezd52ax5" timestamp="1729253026"&gt;896&lt;/key&gt;&lt;/foreign-keys&gt;&lt;ref-type name="Journal Article"&gt;17&lt;/ref-type&gt;&lt;contributors&gt;&lt;authors&gt;&lt;author&gt;Roszkowska, Paulina&lt;/author&gt;&lt;/authors&gt;&lt;/contributors&gt;&lt;titles&gt;&lt;title&gt;Fintech in financial reporting and audit for fraud prevention and safeguarding equity investments&lt;/title&gt;&lt;secondary-title&gt;Journal of Accounting &amp;amp; Organizational Change&lt;/secondary-title&gt;&lt;/titles&gt;&lt;periodical&gt;&lt;full-title&gt;Journal of Accounting &amp;amp; Organizational Change&lt;/full-title&gt;&lt;/periodical&gt;&lt;pages&gt;164-196&lt;/pages&gt;&lt;volume&gt;17&lt;/volume&gt;&lt;number&gt;2&lt;/number&gt;&lt;dates&gt;&lt;year&gt;2021&lt;/year&gt;&lt;/dates&gt;&lt;publisher&gt;Emerald Publishing Limited&lt;/publisher&gt;&lt;isbn&gt;1832-5912&lt;/isbn&gt;&lt;urls&gt;&lt;related-urls&gt;&lt;url&gt;https://doi.org/10.1108/JAOC-09-2019-0098&lt;/url&gt;&lt;/related-urls&gt;&lt;/urls&gt;&lt;electronic-resource-num&gt;10.1108/JAOC-09-2019-0098&lt;/electronic-resource-num&gt;&lt;access-date&gt;2024/10/18&lt;/access-date&gt;&lt;/record&gt;&lt;/Cite&gt;&lt;/EndNote&gt;</w:instrText>
      </w:r>
      <w:r w:rsidR="000C3867">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(Roszkowska, 2021)</w:t>
      </w:r>
      <w:r w:rsidR="000C3867">
        <w:rPr>
          <w:rFonts w:ascii="Times New Roman" w:eastAsia="Times New Roman" w:hAnsi="Times New Roman" w:cs="Times New Roman"/>
          <w:sz w:val="24"/>
          <w:szCs w:val="24"/>
          <w:lang w:val="en-US"/>
        </w:rPr>
        <w:fldChar w:fldCharType="end"/>
      </w:r>
      <w:r w:rsidR="00A77ACD" w:rsidRPr="00A77ACD">
        <w:rPr>
          <w:rFonts w:ascii="Times New Roman" w:eastAsia="Times New Roman" w:hAnsi="Times New Roman" w:cs="Times New Roman"/>
          <w:sz w:val="24"/>
          <w:szCs w:val="24"/>
          <w:lang w:val="en-US"/>
        </w:rPr>
        <w:t xml:space="preserve">. However, although the importance of leveraging </w:t>
      </w:r>
      <w:r>
        <w:rPr>
          <w:rFonts w:ascii="Times New Roman" w:eastAsia="Times New Roman" w:hAnsi="Times New Roman" w:cs="Times New Roman"/>
          <w:sz w:val="24"/>
          <w:szCs w:val="24"/>
          <w:lang w:val="en-US"/>
        </w:rPr>
        <w:t>Fintech</w:t>
      </w:r>
      <w:r w:rsidR="00A77ACD" w:rsidRPr="00A77ACD">
        <w:rPr>
          <w:rFonts w:ascii="Times New Roman" w:eastAsia="Times New Roman" w:hAnsi="Times New Roman" w:cs="Times New Roman"/>
          <w:sz w:val="24"/>
          <w:szCs w:val="24"/>
          <w:lang w:val="en-US"/>
        </w:rPr>
        <w:t xml:space="preserve"> is beneficial for sustainability, it serves as a barrier to the adoption of </w:t>
      </w:r>
      <w:r>
        <w:rPr>
          <w:rFonts w:ascii="Times New Roman" w:eastAsia="Times New Roman" w:hAnsi="Times New Roman" w:cs="Times New Roman"/>
          <w:sz w:val="24"/>
          <w:szCs w:val="24"/>
          <w:lang w:val="en-US"/>
        </w:rPr>
        <w:t>Fintech</w:t>
      </w:r>
      <w:r w:rsidR="00A77ACD" w:rsidRPr="00A77ACD">
        <w:rPr>
          <w:rFonts w:ascii="Times New Roman" w:eastAsia="Times New Roman" w:hAnsi="Times New Roman" w:cs="Times New Roman"/>
          <w:sz w:val="24"/>
          <w:szCs w:val="24"/>
          <w:lang w:val="en-US"/>
        </w:rPr>
        <w:t xml:space="preserve"> for the elderly population. Therefore, the retired government officials’ choice received a definition parasitic nature. </w:t>
      </w:r>
      <w:r w:rsidR="00A95089" w:rsidRPr="00A77ACD">
        <w:rPr>
          <w:rFonts w:ascii="Times New Roman" w:eastAsia="Times New Roman" w:hAnsi="Times New Roman" w:cs="Times New Roman"/>
          <w:sz w:val="24"/>
          <w:szCs w:val="24"/>
          <w:lang w:val="en-US"/>
        </w:rPr>
        <w:t>Parasitism</w:t>
      </w:r>
      <w:r w:rsidR="00A77ACD" w:rsidRPr="00A77ACD">
        <w:rPr>
          <w:rFonts w:ascii="Times New Roman" w:eastAsia="Times New Roman" w:hAnsi="Times New Roman" w:cs="Times New Roman"/>
          <w:sz w:val="24"/>
          <w:szCs w:val="24"/>
          <w:lang w:val="en-US"/>
        </w:rPr>
        <w:t xml:space="preserve"> is a </w:t>
      </w:r>
      <w:r w:rsidR="00A95089" w:rsidRPr="00A77ACD">
        <w:rPr>
          <w:rFonts w:ascii="Times New Roman" w:eastAsia="Times New Roman" w:hAnsi="Times New Roman" w:cs="Times New Roman"/>
          <w:sz w:val="24"/>
          <w:szCs w:val="24"/>
          <w:lang w:val="en-US"/>
        </w:rPr>
        <w:t>necessity</w:t>
      </w:r>
      <w:r w:rsidR="00A77ACD" w:rsidRPr="00A77ACD">
        <w:rPr>
          <w:rFonts w:ascii="Times New Roman" w:eastAsia="Times New Roman" w:hAnsi="Times New Roman" w:cs="Times New Roman"/>
          <w:sz w:val="24"/>
          <w:szCs w:val="24"/>
          <w:lang w:val="en-US"/>
        </w:rPr>
        <w:t xml:space="preserve"> for retired government </w:t>
      </w:r>
      <w:r w:rsidR="00A95089" w:rsidRPr="00A77ACD">
        <w:rPr>
          <w:rFonts w:ascii="Times New Roman" w:eastAsia="Times New Roman" w:hAnsi="Times New Roman" w:cs="Times New Roman"/>
          <w:sz w:val="24"/>
          <w:szCs w:val="24"/>
          <w:lang w:val="en-US"/>
        </w:rPr>
        <w:t>officials</w:t>
      </w:r>
      <w:r w:rsidR="00A77ACD" w:rsidRPr="00A77ACD">
        <w:rPr>
          <w:rFonts w:ascii="Times New Roman" w:eastAsia="Times New Roman" w:hAnsi="Times New Roman" w:cs="Times New Roman"/>
          <w:sz w:val="24"/>
          <w:szCs w:val="24"/>
          <w:lang w:val="en-US"/>
        </w:rPr>
        <w:t xml:space="preserve"> who have not been very active with tech when they had jobs and cannot do without it because they are retired.</w:t>
      </w:r>
    </w:p>
    <w:p w:rsidR="00A77ACD" w:rsidRPr="004F6518" w:rsidRDefault="00A77ACD" w:rsidP="004F6518">
      <w:pPr>
        <w:spacing w:before="100" w:beforeAutospacing="1" w:after="100" w:afterAutospacing="1" w:line="360" w:lineRule="auto"/>
        <w:jc w:val="both"/>
        <w:rPr>
          <w:rFonts w:ascii="Times New Roman" w:eastAsia="Times New Roman" w:hAnsi="Times New Roman" w:cs="Times New Roman"/>
          <w:b/>
          <w:sz w:val="24"/>
          <w:szCs w:val="24"/>
          <w:lang w:val="en-US"/>
        </w:rPr>
      </w:pPr>
      <w:r w:rsidRPr="004F6518">
        <w:rPr>
          <w:rFonts w:ascii="Times New Roman" w:eastAsia="Times New Roman" w:hAnsi="Times New Roman" w:cs="Times New Roman"/>
          <w:b/>
          <w:sz w:val="24"/>
          <w:szCs w:val="24"/>
          <w:lang w:val="en-US"/>
        </w:rPr>
        <w:t xml:space="preserve">Challenges in </w:t>
      </w:r>
      <w:r w:rsidR="005D6E88">
        <w:rPr>
          <w:rFonts w:ascii="Times New Roman" w:eastAsia="Times New Roman" w:hAnsi="Times New Roman" w:cs="Times New Roman"/>
          <w:b/>
          <w:sz w:val="24"/>
          <w:szCs w:val="24"/>
          <w:lang w:val="en-US"/>
        </w:rPr>
        <w:t>Fintech</w:t>
      </w:r>
      <w:r w:rsidRPr="004F6518">
        <w:rPr>
          <w:rFonts w:ascii="Times New Roman" w:eastAsia="Times New Roman" w:hAnsi="Times New Roman" w:cs="Times New Roman"/>
          <w:b/>
          <w:sz w:val="24"/>
          <w:szCs w:val="24"/>
          <w:lang w:val="en-US"/>
        </w:rPr>
        <w:t xml:space="preserve"> Adoption by Pension-Holding Elderly People</w:t>
      </w:r>
    </w:p>
    <w:p w:rsidR="00A77ACD" w:rsidRPr="00A77ACD" w:rsidRDefault="00A77ACD" w:rsidP="004F6518">
      <w:pPr>
        <w:spacing w:before="100" w:beforeAutospacing="1" w:after="100" w:afterAutospacing="1" w:line="360" w:lineRule="auto"/>
        <w:jc w:val="both"/>
        <w:rPr>
          <w:rFonts w:ascii="Times New Roman" w:eastAsia="Times New Roman" w:hAnsi="Times New Roman" w:cs="Times New Roman"/>
          <w:sz w:val="24"/>
          <w:szCs w:val="24"/>
          <w:lang w:val="en-US"/>
        </w:rPr>
      </w:pPr>
      <w:r w:rsidRPr="00A77ACD">
        <w:rPr>
          <w:rFonts w:ascii="Times New Roman" w:eastAsia="Times New Roman" w:hAnsi="Times New Roman" w:cs="Times New Roman"/>
          <w:sz w:val="24"/>
          <w:szCs w:val="24"/>
          <w:lang w:val="en-US"/>
        </w:rPr>
        <w:t xml:space="preserve">Despite the potential applications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for financial inclusion, the older age population, including retired government officials living on pensions, are among the least likely groups to use them</w:t>
      </w:r>
      <w:r w:rsidR="000C3867">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&lt;EndNote&gt;&lt;Cite&gt;&lt;Author&gt;Ebrahim&lt;/Author&gt;&lt;Year&gt;2005&lt;/Year&gt;&lt;RecNum&gt;897&lt;/RecNum&gt;&lt;DisplayText&gt;(Ebrahim &amp;amp; Irani, 2005)&lt;/DisplayText&gt;&lt;record&gt;&lt;rec-number&gt;897&lt;/rec-number&gt;&lt;foreign-keys&gt;&lt;key app="EN" db-id="a2rsvzpeof2293e9sebptwz9ezdwezd52ax5" timestamp="1729253265"&gt;897&lt;/key&gt;&lt;/foreign-keys&gt;&lt;ref-type name="Journal Article"&gt;17&lt;/ref-type&gt;&lt;contributors&gt;&lt;authors&gt;&lt;author&gt;Ebrahim, Zakareya&lt;/author&gt;&lt;author&gt;Irani, Zahir&lt;/author&gt;&lt;/authors&gt;&lt;/contributors&gt;&lt;titles&gt;&lt;title&gt;E‐government adoption: architecture and barriers&lt;/title&gt;&lt;secondary-title&gt;Business Process Management Journal&lt;/secondary-title&gt;&lt;/titles&gt;&lt;periodical&gt;&lt;full-title&gt;Business Process Management Journal&lt;/full-title&gt;&lt;/periodical&gt;&lt;pages&gt;589-611&lt;/pages&gt;&lt;volume&gt;11&lt;/volume&gt;&lt;number&gt;5&lt;/number&gt;&lt;dates&gt;&lt;year&gt;2005&lt;/year&gt;&lt;/dates&gt;&lt;publisher&gt;Emerald Group Publishing Limited&lt;/publisher&gt;&lt;isbn&gt;1463-7154&lt;/isbn&gt;&lt;urls&gt;&lt;related-urls&gt;&lt;url&gt;https://doi.org/10.1108/14637150510619902&lt;/url&gt;&lt;/related-urls&gt;&lt;/urls&gt;&lt;electronic-resource-num&gt;10.1108/14637150510619902&lt;/electronic-resource-num&gt;&lt;access-date&gt;2024/10/18&lt;/access-date&gt;&lt;/record&gt;&lt;/Cite&gt;&lt;/EndNote&gt;</w:instrText>
      </w:r>
      <w:r w:rsidR="000C3867">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(Ebrahim &amp; Irani, 2005)</w:t>
      </w:r>
      <w:r w:rsidR="000C3867">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In particular, the base of these users who adopt new technologies when adopting digital ones suffers from more exposure to them. For example, in Bangladesh, old-aged retired government officials reside in adverse circumstances as they are not familiar with digital platforms and experienced a whole professional life of total hours of fieldwork</w:t>
      </w:r>
      <w:r w:rsidR="00733AB7">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&lt;EndNote&gt;&lt;Cite&gt;&lt;Author&gt;Moudud-Ul-Huq&lt;/Author&gt;&lt;Year&gt;2021&lt;/Year&gt;&lt;RecNum&gt;898&lt;/RecNum&gt;&lt;DisplayText&gt;(Moudud-Ul-Huq, Sultana Swarna, &amp;amp; Sultana, 2021)&lt;/DisplayText&gt;&lt;record&gt;&lt;rec-number&gt;898&lt;/rec-number&gt;&lt;foreign-keys&gt;&lt;key app="EN" db-id="a2rsvzpeof2293e9sebptwz9ezdwezd52ax5" timestamp="1729253863"&gt;898&lt;/key&gt;&lt;/foreign-keys&gt;&lt;ref-type name="Journal Article"&gt;17&lt;/ref-type&gt;&lt;contributors&gt;&lt;authors&gt;&lt;author&gt;Moudud-Ul-Huq, Syed&lt;/author&gt;&lt;author&gt;Sultana Swarna, Rebeka&lt;/author&gt;&lt;author&gt;Sultana, Mahmuda&lt;/author&gt;&lt;/authors&gt;&lt;/contributors&gt;&lt;titles&gt;&lt;title&gt;Elderly and middle-aged intention to use m-health services: an empirical evidence from a developing country&lt;/title&gt;&lt;secondary-title&gt;Journal of Enabling Technologies&lt;/secondary-title&gt;&lt;/titles&gt;&lt;periodical&gt;&lt;full-title&gt;Journal of Enabling Technologies&lt;/full-title&gt;&lt;/periodical&gt;&lt;pages&gt;23-39&lt;/pages&gt;&lt;volume&gt;15&lt;/volume&gt;&lt;number&gt;1&lt;/number&gt;&lt;dates&gt;&lt;year&gt;2021&lt;/year&gt;&lt;/dates&gt;&lt;publisher&gt;Emerald Publishing Limited&lt;/publisher&gt;&lt;isbn&gt;2398-6263&lt;/isbn&gt;&lt;urls&gt;&lt;related-urls&gt;&lt;url&gt;https://doi.org/10.1108/JET-04-2020-0018&lt;/url&gt;&lt;/related-urls&gt;&lt;/urls&gt;&lt;electronic-resource-num&gt;10.1108/JET-04-2020-0018&lt;/electronic-resource-num&gt;&lt;access-date&gt;2024/10/18&lt;/access-date&gt;&lt;/record&gt;&lt;/Cite&gt;&lt;/EndNote&gt;</w:instrText>
      </w:r>
      <w:r w:rsidR="00733AB7">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(Moudud-Ul-Huq, Sultana Swarna, &amp; Sultana, 2021)</w:t>
      </w:r>
      <w:r w:rsidR="00733AB7">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xml:space="preserve">. He et al. reported that the prominent concern of the older age groups about the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is the associated risks, like data leaks and unauthorized transitions, in addition to structural problems associated with the absence of clear regulations. In addition to this, the life of retired government officials is funded from their pensions with a backing security to believe that such elderly people will fear spending their resourced in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as this will mean a total loss if anything happens to their spent resources</w:t>
      </w:r>
      <w:r w:rsidR="00B036EF">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&lt;EndNote&gt;&lt;Cite&gt;&lt;Author&gt;Hassan&lt;/Author&gt;&lt;Year&gt;2022&lt;/Year&gt;&lt;RecNum&gt;899&lt;/RecNum&gt;&lt;DisplayText&gt;(Hassan et al., 2022)&lt;/DisplayText&gt;&lt;record&gt;&lt;rec-number&gt;899&lt;/rec-number&gt;&lt;foreign-keys&gt;&lt;key app="EN" db-id="a2rsvzpeof2293e9sebptwz9ezdwezd52ax5" timestamp="1729254343"&gt;899&lt;/key&gt;&lt;/foreign-keys&gt;&lt;ref-type name="Electronic Article"&gt;43&lt;/ref-type&gt;&lt;contributors&gt;&lt;authors&gt;&lt;author&gt;Hassan, Md S.&lt;/author&gt;&lt;author&gt;Islam, Md A.&lt;/author&gt;&lt;author&gt;Sobhani, Farid A.&lt;/author&gt;&lt;author&gt;Nasir, Hussen&lt;/author&gt;&lt;author&gt;Mahmud, Imroz&lt;/author&gt;&lt;author&gt;Zahra, Fatema T.&lt;/author&gt;&lt;/authors&gt;&lt;/contributors&gt;&lt;titles&gt;&lt;title&gt;Drivers Influencing the Adoption Intention towards Mobile Fintech Services: A Study on the Emerging Bangladesh Market&lt;/title&gt;&lt;secondary-title&gt;Information&lt;/secondary-title&gt;&lt;/titles&gt;&lt;periodical&gt;&lt;full-title&gt;Information&lt;/full-title&gt;&lt;/periodical&gt;&lt;volume&gt;13&lt;/volume&gt;&lt;number&gt;7&lt;/number&gt;&lt;keywords&gt;&lt;keyword&gt;mobile fintech services (MFS)&lt;/keyword&gt;&lt;keyword&gt;perceived trust&lt;/keyword&gt;&lt;keyword&gt;social influence&lt;/keyword&gt;&lt;keyword&gt;facilitating conditions&lt;/keyword&gt;&lt;keyword&gt;perceived benefit&lt;/keyword&gt;&lt;/keywords&gt;&lt;dates&gt;&lt;year&gt;2022&lt;/year&gt;&lt;/dates&gt;&lt;isbn&gt;2078-2489&lt;/isbn&gt;&lt;urls&gt;&lt;/urls&gt;&lt;electronic-resource-num&gt;10.3390/info13070349&lt;/electronic-resource-num&gt;&lt;/record&gt;&lt;/Cite&gt;&lt;/EndNote&gt;</w:instrText>
      </w:r>
      <w:r w:rsidR="00B036EF">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(Hassan et al., 2022)</w:t>
      </w:r>
      <w:r w:rsidR="00B036EF">
        <w:rPr>
          <w:rFonts w:ascii="Times New Roman" w:eastAsia="Times New Roman" w:hAnsi="Times New Roman" w:cs="Times New Roman"/>
          <w:sz w:val="24"/>
          <w:szCs w:val="24"/>
          <w:lang w:val="en-US"/>
        </w:rPr>
        <w:fldChar w:fldCharType="end"/>
      </w:r>
      <w:r w:rsidR="00B036EF">
        <w:rPr>
          <w:rFonts w:ascii="Times New Roman" w:eastAsia="Times New Roman" w:hAnsi="Times New Roman" w:cs="Times New Roman"/>
          <w:sz w:val="24"/>
          <w:szCs w:val="24"/>
          <w:lang w:val="en-US"/>
        </w:rPr>
        <w:t>.</w:t>
      </w:r>
    </w:p>
    <w:p w:rsidR="00A77ACD" w:rsidRPr="004F6518" w:rsidRDefault="00A77ACD" w:rsidP="004F6518">
      <w:pPr>
        <w:spacing w:before="100" w:beforeAutospacing="1" w:after="100" w:afterAutospacing="1" w:line="360" w:lineRule="auto"/>
        <w:jc w:val="both"/>
        <w:rPr>
          <w:rFonts w:ascii="Times New Roman" w:eastAsia="Times New Roman" w:hAnsi="Times New Roman" w:cs="Times New Roman"/>
          <w:b/>
          <w:sz w:val="24"/>
          <w:szCs w:val="24"/>
          <w:lang w:val="en-US"/>
        </w:rPr>
      </w:pPr>
      <w:r w:rsidRPr="004F6518">
        <w:rPr>
          <w:rFonts w:ascii="Times New Roman" w:eastAsia="Times New Roman" w:hAnsi="Times New Roman" w:cs="Times New Roman"/>
          <w:b/>
          <w:sz w:val="24"/>
          <w:szCs w:val="24"/>
          <w:lang w:val="en-US"/>
        </w:rPr>
        <w:t xml:space="preserve">Perceived Risks and Benefits in </w:t>
      </w:r>
      <w:r w:rsidR="005D6E88">
        <w:rPr>
          <w:rFonts w:ascii="Times New Roman" w:eastAsia="Times New Roman" w:hAnsi="Times New Roman" w:cs="Times New Roman"/>
          <w:b/>
          <w:sz w:val="24"/>
          <w:szCs w:val="24"/>
          <w:lang w:val="en-US"/>
        </w:rPr>
        <w:t>Fintech</w:t>
      </w:r>
      <w:r w:rsidRPr="004F6518">
        <w:rPr>
          <w:rFonts w:ascii="Times New Roman" w:eastAsia="Times New Roman" w:hAnsi="Times New Roman" w:cs="Times New Roman"/>
          <w:b/>
          <w:sz w:val="24"/>
          <w:szCs w:val="24"/>
          <w:lang w:val="en-US"/>
        </w:rPr>
        <w:t xml:space="preserve"> Adoption</w:t>
      </w:r>
    </w:p>
    <w:p w:rsidR="00A77ACD" w:rsidRPr="00A77ACD" w:rsidRDefault="00A77ACD" w:rsidP="004F6518">
      <w:pPr>
        <w:spacing w:before="100" w:beforeAutospacing="1" w:after="100" w:afterAutospacing="1" w:line="360" w:lineRule="auto"/>
        <w:jc w:val="both"/>
        <w:rPr>
          <w:rFonts w:ascii="Times New Roman" w:eastAsia="Times New Roman" w:hAnsi="Times New Roman" w:cs="Times New Roman"/>
          <w:sz w:val="24"/>
          <w:szCs w:val="24"/>
          <w:lang w:val="en-US"/>
        </w:rPr>
      </w:pPr>
      <w:r w:rsidRPr="00A77ACD">
        <w:rPr>
          <w:rFonts w:ascii="Times New Roman" w:eastAsia="Times New Roman" w:hAnsi="Times New Roman" w:cs="Times New Roman"/>
          <w:sz w:val="24"/>
          <w:szCs w:val="24"/>
          <w:lang w:val="en-US"/>
        </w:rPr>
        <w:t>Perceived risks and benefits play a vital role in the context of technology adoption and may be of particular interest when it comes to older populations</w:t>
      </w:r>
      <w:r w:rsidR="00B036EF">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&lt;EndNote&gt;&lt;Cite&gt;&lt;Author&gt;Mitzner&lt;/Author&gt;&lt;Year&gt;2010&lt;/Year&gt;&lt;RecNum&gt;900&lt;/RecNum&gt;&lt;DisplayText&gt;(Mitzner et al., 2010)&lt;/DisplayText&gt;&lt;record&gt;&lt;rec-number&gt;900&lt;/rec-number&gt;&lt;foreign-keys&gt;&lt;key app="EN" db-id="a2rsvzpeof2293e9sebptwz9ezdwezd52ax5" timestamp="1729254562"&gt;900&lt;/key&gt;&lt;/foreign-keys&gt;&lt;ref-type name="Journal Article"&gt;17&lt;/ref-type&gt;&lt;contributors&gt;&lt;authors&gt;&lt;author&gt;Mitzner, Tracy L.&lt;/author&gt;&lt;author&gt;Boron, Julie B.&lt;/author&gt;&lt;author&gt;Fausset, Cara Bailey&lt;/author&gt;&lt;author&gt;Adams, Anne E.&lt;/author&gt;&lt;author&gt;Charness, Neil&lt;/author&gt;&lt;author&gt;Czaja, Sara J.&lt;/author&gt;&lt;author&gt;Dijkstra, Katinka&lt;/author&gt;&lt;author&gt;Fisk, Arthur D.&lt;/author&gt;&lt;author&gt;Rogers, Wendy A.&lt;/author&gt;&lt;author&gt;Sharit, Joseph&lt;/author&gt;&lt;/authors&gt;&lt;/contributors&gt;&lt;titles&gt;&lt;title&gt;Older adults talk technology: Technology usage and attitudes&lt;/title&gt;&lt;secondary-title&gt;Computers in Human Behavior&lt;/secondary-title&gt;&lt;/titles&gt;&lt;periodical&gt;&lt;full-title&gt;Computers in Human Behavior&lt;/full-title&gt;&lt;/periodical&gt;&lt;pages&gt;1710-1721&lt;/pages&gt;&lt;volume&gt;26&lt;/volume&gt;&lt;number&gt;6&lt;/number&gt;&lt;keywords&gt;&lt;keyword&gt;Technology&lt;/keyword&gt;&lt;keyword&gt;Older adults&lt;/keyword&gt;&lt;keyword&gt;Work&lt;/keyword&gt;&lt;keyword&gt;Healthcare&lt;/keyword&gt;&lt;keyword&gt;Home&lt;/keyword&gt;&lt;/keywords&gt;&lt;dates&gt;&lt;year&gt;2010&lt;/year&gt;&lt;pub-dates&gt;&lt;date&gt;2010/11/01/&lt;/date&gt;&lt;/pub-dates&gt;&lt;/dates&gt;&lt;isbn&gt;0747-5632&lt;/isbn&gt;&lt;urls&gt;&lt;related-urls&gt;&lt;url&gt;https://www.sciencedirect.com/science/article/pii/S0747563210001925&lt;/url&gt;&lt;/related-urls&gt;&lt;/urls&gt;&lt;electronic-resource-num&gt;https://doi.org/10.1016/j.chb.2010.06.020&lt;/electronic-resource-num&gt;&lt;/record&gt;&lt;/Cite&gt;&lt;/EndNote&gt;</w:instrText>
      </w:r>
      <w:r w:rsidR="00B036EF">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(Mitzner et al., 2010)</w:t>
      </w:r>
      <w:r w:rsidR="00B036EF">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Studies on technology adoption are typically based on the Technology Acceptance Model and the Unified Theory of Acceptance and Use of Technology both of which suggest that perceived usefulness and ease of use are the main factors influencing a user’s decision to adopt a technology</w:t>
      </w:r>
      <w:r w:rsidR="00B036EF">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&lt;EndNote&gt;&lt;Cite&gt;&lt;Author&gt;Taherdoost&lt;/Author&gt;&lt;Year&gt;2018&lt;/Year&gt;&lt;RecNum&gt;901&lt;/RecNum&gt;&lt;DisplayText&gt;(Taherdoost, 2018)&lt;/DisplayText&gt;&lt;record&gt;&lt;rec-number&gt;901&lt;/rec-number&gt;&lt;foreign-keys&gt;&lt;key app="EN" db-id="a2rsvzpeof2293e9sebptwz9ezdwezd52ax5" timestamp="1729254808"&gt;901&lt;/key&gt;&lt;/foreign-keys&gt;&lt;ref-type name="Journal Article"&gt;17&lt;/ref-type&gt;&lt;contributors&gt;&lt;authors&gt;&lt;author&gt;Taherdoost, Hamed&lt;/author&gt;&lt;/authors&gt;&lt;/contributors&gt;&lt;titles&gt;&lt;title&gt;Development of an adoption model to assess user acceptance of e-service technology: E-Service Technology Acceptance Model&lt;/title&gt;&lt;secondary-title&gt;Behaviour &amp;amp; Information Technology&lt;/secondary-title&gt;&lt;/titles&gt;&lt;periodical&gt;&lt;full-title&gt;Behaviour &amp;amp; Information Technology&lt;/full-title&gt;&lt;/periodical&gt;&lt;pages&gt;173-197&lt;/pages&gt;&lt;volume&gt;37&lt;/volume&gt;&lt;number&gt;2&lt;/number&gt;&lt;dates&gt;&lt;year&gt;2018&lt;/year&gt;&lt;pub-dates&gt;&lt;date&gt;2018/02/01&lt;/date&gt;&lt;/pub-dates&gt;&lt;/dates&gt;&lt;publisher&gt;Taylor &amp;amp; Francis&lt;/publisher&gt;&lt;isbn&gt;0144-929X&lt;/isbn&gt;&lt;urls&gt;&lt;related-urls&gt;&lt;url&gt;https://doi.org/10.1080/0144929X.2018.1427793&lt;/url&gt;&lt;/related-urls&gt;&lt;/urls&gt;&lt;electronic-resource-num&gt;10.1080/0144929X.2018.1427793&lt;/electronic-resource-num&gt;&lt;/record&gt;&lt;/Cite&gt;&lt;/EndNote&gt;</w:instrText>
      </w:r>
      <w:r w:rsidR="00B036EF">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(Taherdoost, 2018)</w:t>
      </w:r>
      <w:r w:rsidR="00B036EF">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These models, however, tend to underestimate the role of perceived risks, which might be a major barrier to adoption, particularly in financial services, where aspects of tr</w:t>
      </w:r>
      <w:r w:rsidR="00B036EF">
        <w:rPr>
          <w:rFonts w:ascii="Times New Roman" w:eastAsia="Times New Roman" w:hAnsi="Times New Roman" w:cs="Times New Roman"/>
          <w:sz w:val="24"/>
          <w:szCs w:val="24"/>
          <w:lang w:val="en-US"/>
        </w:rPr>
        <w:t>ust and security are emphasized</w:t>
      </w:r>
      <w:r w:rsidRPr="00A77ACD">
        <w:rPr>
          <w:rFonts w:ascii="Times New Roman" w:eastAsia="Times New Roman" w:hAnsi="Times New Roman" w:cs="Times New Roman"/>
          <w:sz w:val="24"/>
          <w:szCs w:val="24"/>
          <w:lang w:val="en-US"/>
        </w:rPr>
        <w:t xml:space="preserve">. For elderly users, the evaluation of the trade-off between the perceived benefits such as convenience and efficiency and the perceived risks of fraud, financial loss, and data security is a key phenomenon in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w:t>
      </w:r>
      <w:proofErr w:type="gramStart"/>
      <w:r w:rsidRPr="00A77ACD">
        <w:rPr>
          <w:rFonts w:ascii="Times New Roman" w:eastAsia="Times New Roman" w:hAnsi="Times New Roman" w:cs="Times New Roman"/>
          <w:sz w:val="24"/>
          <w:szCs w:val="24"/>
          <w:lang w:val="en-US"/>
        </w:rPr>
        <w:t>adoption</w:t>
      </w:r>
      <w:proofErr w:type="gramEnd"/>
      <w:r w:rsidR="002036FD">
        <w:rPr>
          <w:rFonts w:ascii="Times New Roman" w:eastAsia="Times New Roman" w:hAnsi="Times New Roman" w:cs="Times New Roman"/>
          <w:sz w:val="24"/>
          <w:szCs w:val="24"/>
          <w:lang w:val="en-US"/>
        </w:rPr>
        <w:fldChar w:fldCharType="begin">
          <w:fldData xml:space="preserve">PEVuZE5vdGU+PENpdGU+PEF1dGhvcj5UYWhlcmRvb3N0PC9BdXRob3I+PFllYXI+MjAxODwvWWVh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</w:fldData>
        </w:fldChar>
      </w:r>
      <w:r w:rsidR="00906036">
        <w:rPr>
          <w:rFonts w:ascii="Times New Roman" w:eastAsia="Times New Roman" w:hAnsi="Times New Roman" w:cs="Times New Roman"/>
          <w:sz w:val="24"/>
          <w:szCs w:val="24"/>
          <w:lang w:val="en-US"/>
        </w:rPr>
        <w:instrText xml:space="preserve"> ADDIN EN.CITE </w:instrText>
      </w:r>
      <w:r w:rsidR="00906036">
        <w:rPr>
          <w:rFonts w:ascii="Times New Roman" w:eastAsia="Times New Roman" w:hAnsi="Times New Roman" w:cs="Times New Roman"/>
          <w:sz w:val="24"/>
          <w:szCs w:val="24"/>
          <w:lang w:val="en-US"/>
        </w:rPr>
        <w:fldChar w:fldCharType="begin">
          <w:fldData xml:space="preserve">PEVuZE5vdGU+PENpdGU+PEF1dGhvcj5UYWhlcmRvb3N0PC9BdXRob3I+PFllYXI+MjAxODwvWWVh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</w:fldData>
        </w:fldChar>
      </w:r>
      <w:r w:rsidR="00906036">
        <w:rPr>
          <w:rFonts w:ascii="Times New Roman" w:eastAsia="Times New Roman" w:hAnsi="Times New Roman" w:cs="Times New Roman"/>
          <w:sz w:val="24"/>
          <w:szCs w:val="24"/>
          <w:lang w:val="en-US"/>
        </w:rPr>
        <w:instrText xml:space="preserve"> ADDIN EN.CITE.DATA </w:instrText>
      </w:r>
      <w:r w:rsidR="00906036">
        <w:rPr>
          <w:rFonts w:ascii="Times New Roman" w:eastAsia="Times New Roman" w:hAnsi="Times New Roman" w:cs="Times New Roman"/>
          <w:sz w:val="24"/>
          <w:szCs w:val="24"/>
          <w:lang w:val="en-US"/>
        </w:rPr>
      </w:r>
      <w:r w:rsidR="00906036">
        <w:rPr>
          <w:rFonts w:ascii="Times New Roman" w:eastAsia="Times New Roman" w:hAnsi="Times New Roman" w:cs="Times New Roman"/>
          <w:sz w:val="24"/>
          <w:szCs w:val="24"/>
          <w:lang w:val="en-US"/>
        </w:rPr>
        <w:fldChar w:fldCharType="end"/>
      </w:r>
      <w:r w:rsidR="002036FD">
        <w:rPr>
          <w:rFonts w:ascii="Times New Roman" w:eastAsia="Times New Roman" w:hAnsi="Times New Roman" w:cs="Times New Roman"/>
          <w:sz w:val="24"/>
          <w:szCs w:val="24"/>
          <w:lang w:val="en-US"/>
        </w:rPr>
      </w:r>
      <w:r w:rsidR="002036F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(Martins, Oliveira, &amp; Popovič, 2014; Taherdoost, 2018)</w:t>
      </w:r>
      <w:r w:rsidR="002036FD">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The Net Valence Framework presents a more holistic and balanced outlook on the process of technology adoption, taking both the positive and the negative outcomes of a user’s evaluation into account</w:t>
      </w:r>
      <w:r w:rsidR="002036F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&lt;EndNote&gt;&lt;Cite&gt;&lt;Author&gt;Partala&lt;/Author&gt;&lt;Year&gt;2015&lt;/Year&gt;&lt;RecNum&gt;904&lt;/RecNum&gt;&lt;DisplayText&gt;(Partala &amp;amp; Saari, 2015)&lt;/DisplayText&gt;&lt;record&gt;&lt;rec-number&gt;904&lt;/rec-number&gt;&lt;foreign-keys&gt;&lt;key app="EN" db-id="a2rsvzpeof2293e9sebptwz9ezdwezd52ax5" timestamp="1729255402"&gt;904&lt;/key&gt;&lt;/foreign-keys&gt;&lt;ref-type name="Journal Article"&gt;17&lt;/ref-type&gt;&lt;contributors&gt;&lt;authors&gt;&lt;author&gt;Partala, Timo&lt;/author&gt;&lt;author&gt;Saari, Timo&lt;/author&gt;&lt;/authors&gt;&lt;/contributors&gt;&lt;titles&gt;&lt;title&gt;Understanding the most influential user experiences in successful and unsuccessful technology adoptions&lt;/title&gt;&lt;secondary-title&gt;Computers in Human Behavior&lt;/secondary-title&gt;&lt;/titles&gt;&lt;periodical&gt;&lt;full-title&gt;Computers in Human Behavior&lt;/full-title&gt;&lt;/periodical&gt;&lt;pages&gt;381-395&lt;/pages&gt;&lt;volume&gt;53&lt;/volume&gt;&lt;keywords&gt;&lt;keyword&gt;Technology adoption&lt;/keyword&gt;&lt;keyword&gt;Technology acceptance&lt;/keyword&gt;&lt;keyword&gt;User experience&lt;/keyword&gt;&lt;keyword&gt;Emotions&lt;/keyword&gt;&lt;keyword&gt;User needs&lt;/keyword&gt;&lt;keyword&gt;Well-being&lt;/keyword&gt;&lt;/keywords&gt;&lt;dates&gt;&lt;year&gt;2015&lt;/year&gt;&lt;pub-dates&gt;&lt;date&gt;2015/12/01/&lt;/date&gt;&lt;/pub-dates&gt;&lt;/dates&gt;&lt;isbn&gt;0747-5632&lt;/isbn&gt;&lt;urls&gt;&lt;related-urls&gt;&lt;url&gt;https://www.sciencedirect.com/science/article/pii/S0747563215300236&lt;/url&gt;&lt;/related-urls&gt;&lt;/urls&gt;&lt;electronic-resource-num&gt;https://doi.org/10.1016/j.chb.2015.07.012&lt;/electronic-resource-num&gt;&lt;/record&gt;&lt;/Cite&gt;&lt;/EndNote&gt;</w:instrText>
      </w:r>
      <w:r w:rsidR="002036F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(Partala &amp; Saari, 2015)</w:t>
      </w:r>
      <w:r w:rsidR="002036FD">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xml:space="preserve">. The positons that benefits can be traded against losses and that the overall decision to adopt or not adopt a service is influenced by the net value. In the context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the framework has been used to evaluate mart and traditional banks, and how different audience segments perceive the benefits of and value-outcomes of digital banking in observable practice. However, little to no empirical research has been conducted on the matter, particularly in the context of the elderly and retired government officials.</w:t>
      </w:r>
    </w:p>
    <w:p w:rsidR="00A77ACD" w:rsidRPr="004F6518" w:rsidRDefault="005D6E88" w:rsidP="004F6518">
      <w:pPr>
        <w:spacing w:before="100" w:beforeAutospacing="1" w:after="100" w:afterAutospacing="1"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Fintech</w:t>
      </w:r>
      <w:r w:rsidR="00A77ACD" w:rsidRPr="004F6518">
        <w:rPr>
          <w:rFonts w:ascii="Times New Roman" w:eastAsia="Times New Roman" w:hAnsi="Times New Roman" w:cs="Times New Roman"/>
          <w:b/>
          <w:sz w:val="24"/>
          <w:szCs w:val="24"/>
          <w:lang w:val="en-US"/>
        </w:rPr>
        <w:t xml:space="preserve"> adoption and COVID-19</w:t>
      </w:r>
    </w:p>
    <w:p w:rsidR="00A77ACD" w:rsidRPr="00A77ACD" w:rsidRDefault="00A77ACD" w:rsidP="004F6518">
      <w:pPr>
        <w:spacing w:before="100" w:beforeAutospacing="1" w:after="100" w:afterAutospacing="1" w:line="360" w:lineRule="auto"/>
        <w:jc w:val="both"/>
        <w:rPr>
          <w:rFonts w:ascii="Times New Roman" w:eastAsia="Times New Roman" w:hAnsi="Times New Roman" w:cs="Times New Roman"/>
          <w:sz w:val="24"/>
          <w:szCs w:val="24"/>
          <w:lang w:val="en-US"/>
        </w:rPr>
      </w:pPr>
      <w:r w:rsidRPr="00A77ACD">
        <w:rPr>
          <w:rFonts w:ascii="Times New Roman" w:eastAsia="Times New Roman" w:hAnsi="Times New Roman" w:cs="Times New Roman"/>
          <w:sz w:val="24"/>
          <w:szCs w:val="24"/>
          <w:lang w:val="en-US"/>
        </w:rPr>
        <w:t xml:space="preserve">The COVID-19 pandemic has greatly impacted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adoption across the world, serving as the main driver of change from traditional to digital financial services</w:t>
      </w:r>
      <w:r w:rsidR="002036F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&lt;EndNote&gt;&lt;Cite&gt;&lt;Author&gt;Yudaruddin&lt;/Author&gt;&lt;Year&gt;2023&lt;/Year&gt;&lt;RecNum&gt;905&lt;/RecNum&gt;&lt;DisplayText&gt;(Yudaruddin, 2023)&lt;/DisplayText&gt;&lt;record&gt;&lt;rec-number&gt;905&lt;/rec-number&gt;&lt;foreign-keys&gt;&lt;key app="EN" db-id="a2rsvzpeof2293e9sebptwz9ezdwezd52ax5" timestamp="1729255581"&gt;905&lt;/key&gt;&lt;/foreign-keys&gt;&lt;ref-type name="Journal Article"&gt;17&lt;/ref-type&gt;&lt;contributors&gt;&lt;authors&gt;&lt;author&gt;Yudaruddin, Rizky&lt;/author&gt;&lt;/authors&gt;&lt;/contributors&gt;&lt;titles&gt;&lt;title&gt;Bank lending during the COVID-19 pandemic: do alliances and digital strategies matter?&lt;/title&gt;&lt;secondary-title&gt;Managerial Finance&lt;/secondary-title&gt;&lt;/titles&gt;&lt;periodical&gt;&lt;full-title&gt;Managerial Finance&lt;/full-title&gt;&lt;/periodical&gt;&lt;pages&gt;1221-1238&lt;/pages&gt;&lt;volume&gt;49&lt;/volume&gt;&lt;number&gt;7&lt;/number&gt;&lt;dates&gt;&lt;year&gt;2023&lt;/year&gt;&lt;/dates&gt;&lt;publisher&gt;Emerald Publishing Limited&lt;/publisher&gt;&lt;isbn&gt;0307-4358&lt;/isbn&gt;&lt;urls&gt;&lt;related-urls&gt;&lt;url&gt;https://doi.org/10.1108/MF-04-2022-0167&lt;/url&gt;&lt;/related-urls&gt;&lt;/urls&gt;&lt;electronic-resource-num&gt;10.1108/MF-04-2022-0167&lt;/electronic-resource-num&gt;&lt;access-date&gt;2024/10/18&lt;/access-date&gt;&lt;/record&gt;&lt;/Cite&gt;&lt;/EndNote&gt;</w:instrText>
      </w:r>
      <w:r w:rsidR="002036F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(Yudaruddin, 2023)</w:t>
      </w:r>
      <w:r w:rsidR="002036FD">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Due to lockdowns and the necessity to stay home, the customers who have never before used digital platforms and mobile devices to make payments or transfer money, for instance, older adults,</w:t>
      </w:r>
      <w:r w:rsidR="00F96FC1">
        <w:rPr>
          <w:rFonts w:ascii="Times New Roman" w:eastAsia="Times New Roman" w:hAnsi="Times New Roman" w:cs="Times New Roman"/>
          <w:sz w:val="24"/>
          <w:szCs w:val="24"/>
          <w:lang w:val="en-US"/>
        </w:rPr>
        <w:t xml:space="preserve"> now have joined them</w:t>
      </w:r>
      <w:r w:rsidRPr="00A77ACD">
        <w:rPr>
          <w:rFonts w:ascii="Times New Roman" w:eastAsia="Times New Roman" w:hAnsi="Times New Roman" w:cs="Times New Roman"/>
          <w:sz w:val="24"/>
          <w:szCs w:val="24"/>
          <w:lang w:val="en-US"/>
        </w:rPr>
        <w:t xml:space="preserve">. At the same time, several studies have revealed that while the COVID-19 outbreak fueled the growth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use, it also increased concerns over their safety and security</w:t>
      </w:r>
      <w:r w:rsidR="002036F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&lt;EndNote&gt;&lt;Cite&gt;&lt;Author&gt;Esmaeilpour Moghadam&lt;/Author&gt;&lt;Year&gt;2023&lt;/Year&gt;&lt;RecNum&gt;906&lt;/RecNum&gt;&lt;DisplayText&gt;(Esmaeilpour Moghadam &amp;amp; Karami, 2023)&lt;/DisplayText&gt;&lt;record&gt;&lt;rec-number&gt;906&lt;/rec-number&gt;&lt;foreign-keys&gt;&lt;key app="EN" db-id="a2rsvzpeof2293e9sebptwz9ezdwezd52ax5" timestamp="1729255690"&gt;906&lt;/key&gt;&lt;/foreign-keys&gt;&lt;ref-type name="Journal Article"&gt;17&lt;/ref-type&gt;&lt;contributors&gt;&lt;authors&gt;&lt;author&gt;Esmaeilpour Moghadam, Hadi&lt;/author&gt;&lt;author&gt;Karami, Arezou&lt;/author&gt;&lt;/authors&gt;&lt;/contributors&gt;&lt;titles&gt;&lt;title&gt;Financial inclusion through FinTech and women&amp;apos;s financial empowerment&lt;/title&gt;&lt;secondary-title&gt;International Journal of Social Economics&lt;/secondary-title&gt;&lt;/titles&gt;&lt;periodical&gt;&lt;full-title&gt;International Journal of Social Economics&lt;/full-title&gt;&lt;/periodical&gt;&lt;pages&gt;1038-1059&lt;/pages&gt;&lt;volume&gt;50&lt;/volume&gt;&lt;number&gt;8&lt;/number&gt;&lt;dates&gt;&lt;year&gt;2023&lt;/year&gt;&lt;/dates&gt;&lt;publisher&gt;Emerald Publishing Limited&lt;/publisher&gt;&lt;isbn&gt;0306-8293&lt;/isbn&gt;&lt;urls&gt;&lt;related-urls&gt;&lt;url&gt;https://doi.org/10.1108/IJSE-04-2022-0246&lt;/url&gt;&lt;/related-urls&gt;&lt;/urls&gt;&lt;electronic-resource-num&gt;10.1108/IJSE-04-2022-0246&lt;/electronic-resource-num&gt;&lt;access-date&gt;2024/10/18&lt;/access-date&gt;&lt;/record&gt;&lt;/Cite&gt;&lt;/EndNote&gt;</w:instrText>
      </w:r>
      <w:r w:rsidR="002036F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(Esmaeilpour Moghadam &amp; Karami, 2023)</w:t>
      </w:r>
      <w:r w:rsidR="002036FD">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xml:space="preserve">. In such a way, for the older retired government officials in Bangladesh who get their pensions from the government, the effects of the pandemic could be both an opportunity and a threat, as these persons could start using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to manage their pensions and other savings while they could also be concerned about the security of these services and their lack of proficiency in </w:t>
      </w:r>
      <w:r w:rsidR="00F96FC1">
        <w:rPr>
          <w:rFonts w:ascii="Times New Roman" w:eastAsia="Times New Roman" w:hAnsi="Times New Roman" w:cs="Times New Roman"/>
          <w:sz w:val="24"/>
          <w:szCs w:val="24"/>
          <w:lang w:val="en-US"/>
        </w:rPr>
        <w:t>using technological devices</w:t>
      </w:r>
      <w:r w:rsidR="004F6518">
        <w:rPr>
          <w:rFonts w:ascii="Times New Roman" w:eastAsia="Times New Roman" w:hAnsi="Times New Roman" w:cs="Times New Roman"/>
          <w:sz w:val="24"/>
          <w:szCs w:val="24"/>
          <w:lang w:val="en-US"/>
        </w:rPr>
        <w:t xml:space="preserve">. </w:t>
      </w:r>
      <w:r w:rsidRPr="00A77ACD">
        <w:rPr>
          <w:rFonts w:ascii="Times New Roman" w:eastAsia="Times New Roman" w:hAnsi="Times New Roman" w:cs="Times New Roman"/>
          <w:sz w:val="24"/>
          <w:szCs w:val="24"/>
          <w:lang w:val="en-US"/>
        </w:rPr>
        <w:t>For this category of people, it is important to invest in digital financial literacy programs developed for them in order to help them feel safe and confiden</w:t>
      </w:r>
      <w:r w:rsidR="00F96FC1">
        <w:rPr>
          <w:rFonts w:ascii="Times New Roman" w:eastAsia="Times New Roman" w:hAnsi="Times New Roman" w:cs="Times New Roman"/>
          <w:sz w:val="24"/>
          <w:szCs w:val="24"/>
          <w:lang w:val="en-US"/>
        </w:rPr>
        <w:t xml:space="preserve">t in using </w:t>
      </w:r>
      <w:r w:rsidR="005D6E88">
        <w:rPr>
          <w:rFonts w:ascii="Times New Roman" w:eastAsia="Times New Roman" w:hAnsi="Times New Roman" w:cs="Times New Roman"/>
          <w:sz w:val="24"/>
          <w:szCs w:val="24"/>
          <w:lang w:val="en-US"/>
        </w:rPr>
        <w:t>Fintech</w:t>
      </w:r>
      <w:r w:rsidR="00F96FC1">
        <w:rPr>
          <w:rFonts w:ascii="Times New Roman" w:eastAsia="Times New Roman" w:hAnsi="Times New Roman" w:cs="Times New Roman"/>
          <w:sz w:val="24"/>
          <w:szCs w:val="24"/>
          <w:lang w:val="en-US"/>
        </w:rPr>
        <w:t xml:space="preserve"> services</w:t>
      </w:r>
      <w:r w:rsidRPr="00A77ACD">
        <w:rPr>
          <w:rFonts w:ascii="Times New Roman" w:eastAsia="Times New Roman" w:hAnsi="Times New Roman" w:cs="Times New Roman"/>
          <w:sz w:val="24"/>
          <w:szCs w:val="24"/>
          <w:lang w:val="en-US"/>
        </w:rPr>
        <w:t xml:space="preserve">. These initiatives could significantly improve the levels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adoption and contribute to the financial inclusion and sustainability of the older people in Bangladesh</w:t>
      </w:r>
      <w:r w:rsidR="002036F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&lt;EndNote&gt;&lt;Cite&gt;&lt;Author&gt;Aziz&lt;/Author&gt;&lt;Year&gt;2021&lt;/Year&gt;&lt;RecNum&gt;907&lt;/RecNum&gt;&lt;DisplayText&gt;(Aziz &amp;amp; Naima, 2021)&lt;/DisplayText&gt;&lt;record&gt;&lt;rec-number&gt;907&lt;/rec-number&gt;&lt;foreign-keys&gt;&lt;key app="EN" db-id="a2rsvzpeof2293e9sebptwz9ezdwezd52ax5" timestamp="1729255905"&gt;907&lt;/key&gt;&lt;/foreign-keys&gt;&lt;ref-type name="Journal Article"&gt;17&lt;/ref-type&gt;&lt;contributors&gt;&lt;authors&gt;&lt;author&gt;Aziz, Abdul&lt;/author&gt;&lt;author&gt;Naima, Umma&lt;/author&gt;&lt;/authors&gt;&lt;/contributors&gt;&lt;titles&gt;&lt;title&gt;Rethinking digital financial inclusion: Evidence from Bangladesh&lt;/title&gt;&lt;secondary-title&gt;Technology in Society&lt;/secondary-title&gt;&lt;/titles&gt;&lt;periodical&gt;&lt;full-title&gt;Technology in Society&lt;/full-title&gt;&lt;/periodical&gt;&lt;pages&gt;101509&lt;/pages&gt;&lt;volume&gt;64&lt;/volume&gt;&lt;keywords&gt;&lt;keyword&gt;Digital financial inclusion&lt;/keyword&gt;&lt;keyword&gt;Digital finance&lt;/keyword&gt;&lt;keyword&gt;Mobile financial services&lt;/keyword&gt;&lt;keyword&gt;Digital inequality&lt;/keyword&gt;&lt;keyword&gt;Social inclusion&lt;/keyword&gt;&lt;keyword&gt;Bangladesh&lt;/keyword&gt;&lt;/keywords&gt;&lt;dates&gt;&lt;year&gt;2021&lt;/year&gt;&lt;pub-dates&gt;&lt;date&gt;2021/02/01/&lt;/date&gt;&lt;/pub-dates&gt;&lt;/dates&gt;&lt;isbn&gt;0160-791X&lt;/isbn&gt;&lt;urls&gt;&lt;related-urls&gt;&lt;url&gt;https://www.sciencedirect.com/science/article/pii/S0160791X20313129&lt;/url&gt;&lt;/related-urls&gt;&lt;/urls&gt;&lt;electronic-resource-num&gt;https://doi.org/10.1016/j.techsoc.2020.101509&lt;/electronic-resource-num&gt;&lt;/record&gt;&lt;/Cite&gt;&lt;/EndNote&gt;</w:instrText>
      </w:r>
      <w:r w:rsidR="002036F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(Aziz &amp; Naima, 2021)</w:t>
      </w:r>
      <w:r w:rsidR="002036FD">
        <w:rPr>
          <w:rFonts w:ascii="Times New Roman" w:eastAsia="Times New Roman" w:hAnsi="Times New Roman" w:cs="Times New Roman"/>
          <w:sz w:val="24"/>
          <w:szCs w:val="24"/>
          <w:lang w:val="en-US"/>
        </w:rPr>
        <w:fldChar w:fldCharType="end"/>
      </w:r>
      <w:r w:rsidRPr="00A77ACD">
        <w:rPr>
          <w:rFonts w:ascii="Times New Roman" w:eastAsia="Times New Roman" w:hAnsi="Times New Roman" w:cs="Times New Roman"/>
          <w:sz w:val="24"/>
          <w:szCs w:val="24"/>
          <w:lang w:val="en-US"/>
        </w:rPr>
        <w:t xml:space="preserve">. Additionally, it would be noteworthy to analyze the impact of the pandemic on the perception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adoption identifying how these findings should be integrated into developing the marketing strategies for positioning these services as safe choices</w:t>
      </w:r>
      <w:r w:rsidR="004F6518">
        <w:rPr>
          <w:rFonts w:ascii="Times New Roman" w:eastAsia="Times New Roman" w:hAnsi="Times New Roman" w:cs="Times New Roman"/>
          <w:sz w:val="24"/>
          <w:szCs w:val="24"/>
          <w:lang w:val="en-US"/>
        </w:rPr>
        <w:t xml:space="preserve"> for future use by the elderly</w:t>
      </w:r>
      <w:r w:rsidR="00B77237">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&lt;EndNote&gt;&lt;Cite&gt;&lt;Author&gt;Kass-Hanna&lt;/Author&gt;&lt;Year&gt;2022&lt;/Year&gt;&lt;RecNum&gt;908&lt;/RecNum&gt;&lt;DisplayText&gt;(Kass-Hanna, Lyons, &amp;amp; Liu, 2022)&lt;/DisplayText&gt;&lt;record&gt;&lt;rec-number&gt;908&lt;/rec-number&gt;&lt;foreign-keys&gt;&lt;key app="EN" db-id="a2rsvzpeof2293e9sebptwz9ezdwezd52ax5" timestamp="1729255968"&gt;908&lt;/key&gt;&lt;/foreign-keys&gt;&lt;ref-type name="Journal Article"&gt;17&lt;/ref-type&gt;&lt;contributors&gt;&lt;authors&gt;&lt;author&gt;Kass-Hanna, Josephine&lt;/author&gt;&lt;author&gt;Lyons, Angela C.&lt;/author&gt;&lt;author&gt;Liu, Fan&lt;/author&gt;&lt;/authors&gt;&lt;/contributors&gt;&lt;titles&gt;&lt;title&gt;Building financial resilience through financial and digital literacy in South Asia and Sub-Saharan Africa&lt;/title&gt;&lt;secondary-title&gt;Emerging Markets Review&lt;/secondary-title&gt;&lt;/titles&gt;&lt;periodical&gt;&lt;full-title&gt;Emerging Markets Review&lt;/full-title&gt;&lt;/periodical&gt;&lt;pages&gt;100846&lt;/pages&gt;&lt;volume&gt;51&lt;/volume&gt;&lt;keywords&gt;&lt;keyword&gt;Financial inclusion&lt;/keyword&gt;&lt;keyword&gt;Financial services&lt;/keyword&gt;&lt;keyword&gt;Financial literacy&lt;/keyword&gt;&lt;keyword&gt;Digital literacy&lt;/keyword&gt;&lt;keyword&gt;South Asia&lt;/keyword&gt;&lt;keyword&gt;Sub-Saharan Africa&lt;/keyword&gt;&lt;/keywords&gt;&lt;dates&gt;&lt;year&gt;2022&lt;/year&gt;&lt;pub-dates&gt;&lt;date&gt;2022/06/01/&lt;/date&gt;&lt;/pub-dates&gt;&lt;/dates&gt;&lt;isbn&gt;1566-0141&lt;/isbn&gt;&lt;urls&gt;&lt;related-urls&gt;&lt;url&gt;https://www.sciencedirect.com/science/article/pii/S1566014121000546&lt;/url&gt;&lt;/related-urls&gt;&lt;/urls&gt;&lt;electronic-resource-num&gt;https://doi.org/10.1016/j.ememar.2021.100846&lt;/electronic-resource-num&gt;&lt;/record&gt;&lt;/Cite&gt;&lt;/EndNote&gt;</w:instrText>
      </w:r>
      <w:r w:rsidR="00B77237">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(Kass-Hanna, Lyons, &amp; Liu, 2022)</w:t>
      </w:r>
      <w:r w:rsidR="00B77237">
        <w:rPr>
          <w:rFonts w:ascii="Times New Roman" w:eastAsia="Times New Roman" w:hAnsi="Times New Roman" w:cs="Times New Roman"/>
          <w:sz w:val="24"/>
          <w:szCs w:val="24"/>
          <w:lang w:val="en-US"/>
        </w:rPr>
        <w:fldChar w:fldCharType="end"/>
      </w:r>
      <w:r w:rsidR="004F6518">
        <w:rPr>
          <w:rFonts w:ascii="Times New Roman" w:eastAsia="Times New Roman" w:hAnsi="Times New Roman" w:cs="Times New Roman"/>
          <w:sz w:val="24"/>
          <w:szCs w:val="24"/>
          <w:lang w:val="en-US"/>
        </w:rPr>
        <w:t xml:space="preserve">. </w:t>
      </w:r>
      <w:r w:rsidRPr="00A77ACD">
        <w:rPr>
          <w:rFonts w:ascii="Times New Roman" w:eastAsia="Times New Roman" w:hAnsi="Times New Roman" w:cs="Times New Roman"/>
          <w:sz w:val="24"/>
          <w:szCs w:val="24"/>
          <w:lang w:val="en-US"/>
        </w:rPr>
        <w:t xml:space="preserve">Given the negative effects of the digital divide and inadequate digital literacy on the level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adoption among the elderly, the major aims of the study are to the determine the extent to which the pandemic influenced the reduction of perceived benefits and increase of perceived risks and to identify whether perceived benefits and risks are central to the development of the pension-holding retired government officials’ beliefs regarding the sustainable adoption of </w:t>
      </w:r>
      <w:r w:rsidR="005D6E88">
        <w:rPr>
          <w:rFonts w:ascii="Times New Roman" w:eastAsia="Times New Roman" w:hAnsi="Times New Roman" w:cs="Times New Roman"/>
          <w:sz w:val="24"/>
          <w:szCs w:val="24"/>
          <w:lang w:val="en-US"/>
        </w:rPr>
        <w:t>Fintech</w:t>
      </w:r>
      <w:r w:rsidRPr="00A77ACD">
        <w:rPr>
          <w:rFonts w:ascii="Times New Roman" w:eastAsia="Times New Roman" w:hAnsi="Times New Roman" w:cs="Times New Roman"/>
          <w:sz w:val="24"/>
          <w:szCs w:val="24"/>
          <w:lang w:val="en-US"/>
        </w:rPr>
        <w:t xml:space="preserve">. Such aims are successfully linked to the research questions and will help make a valuable contribution to addressing the gaps. </w:t>
      </w:r>
    </w:p>
    <w:p w:rsidR="00D2103F" w:rsidRPr="00D2103F" w:rsidRDefault="00D16D0F" w:rsidP="00D2103F">
      <w:pPr>
        <w:spacing w:before="100" w:beforeAutospacing="1" w:after="100" w:afterAutospacing="1"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r w:rsidR="004F6518">
        <w:rPr>
          <w:rFonts w:ascii="Times New Roman" w:eastAsia="Times New Roman" w:hAnsi="Times New Roman" w:cs="Times New Roman"/>
          <w:b/>
          <w:sz w:val="24"/>
          <w:szCs w:val="24"/>
          <w:lang w:val="en-US"/>
        </w:rPr>
        <w:t xml:space="preserve"> </w:t>
      </w:r>
      <w:r w:rsidR="00D2103F" w:rsidRPr="00D2103F">
        <w:rPr>
          <w:rFonts w:ascii="Times New Roman" w:eastAsia="Times New Roman" w:hAnsi="Times New Roman" w:cs="Times New Roman"/>
          <w:b/>
          <w:sz w:val="24"/>
          <w:szCs w:val="24"/>
          <w:lang w:val="en-US"/>
        </w:rPr>
        <w:t>Conceptual Framework and Hypothesis Development</w:t>
      </w:r>
    </w:p>
    <w:p w:rsidR="00D16D0F" w:rsidRPr="00D16D0F" w:rsidRDefault="00D16D0F" w:rsidP="00D16D0F">
      <w:pPr>
        <w:spacing w:before="100" w:beforeAutospacing="1" w:after="100" w:afterAutospacing="1" w:line="360" w:lineRule="auto"/>
        <w:jc w:val="both"/>
        <w:rPr>
          <w:rFonts w:ascii="Times New Roman" w:eastAsia="Times New Roman" w:hAnsi="Times New Roman" w:cs="Times New Roman"/>
          <w:b/>
          <w:sz w:val="24"/>
          <w:szCs w:val="24"/>
          <w:lang w:val="en-US"/>
        </w:rPr>
      </w:pPr>
      <w:r w:rsidRPr="00D16D0F">
        <w:rPr>
          <w:rFonts w:ascii="Times New Roman" w:eastAsia="Times New Roman" w:hAnsi="Times New Roman" w:cs="Times New Roman"/>
          <w:b/>
          <w:sz w:val="24"/>
          <w:szCs w:val="24"/>
          <w:lang w:val="en-US"/>
        </w:rPr>
        <w:t>Service Confirmation and Satisfaction:</w:t>
      </w:r>
    </w:p>
    <w:p w:rsidR="002F7362" w:rsidRPr="002F7362" w:rsidRDefault="002F7362" w:rsidP="00D16D0F">
      <w:pPr>
        <w:spacing w:before="100" w:beforeAutospacing="1" w:after="100" w:afterAutospacing="1" w:line="360" w:lineRule="auto"/>
        <w:jc w:val="both"/>
        <w:rPr>
          <w:rFonts w:ascii="Times New Roman" w:eastAsia="Times New Roman" w:hAnsi="Times New Roman" w:cs="Times New Roman"/>
          <w:sz w:val="24"/>
          <w:szCs w:val="24"/>
          <w:lang w:val="en-US"/>
        </w:rPr>
      </w:pPr>
      <w:r w:rsidRPr="002F7362">
        <w:rPr>
          <w:rFonts w:ascii="Times New Roman" w:eastAsia="Times New Roman" w:hAnsi="Times New Roman" w:cs="Times New Roman"/>
          <w:sz w:val="24"/>
          <w:szCs w:val="24"/>
          <w:lang w:val="en-US"/>
        </w:rPr>
        <w:t>Confirmation refers to the extent to which the actual experience of using a technology matches or exceeds the user’s initial expectations</w:t>
      </w:r>
      <w:r w:rsidR="00B77237">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&lt;EndNote&gt;&lt;Cite&gt;&lt;Author&gt;Thong&lt;/Author&gt;&lt;Year&gt;2006&lt;/Year&gt;&lt;RecNum&gt;909&lt;/RecNum&gt;&lt;DisplayText&gt;(Thong, Hong, &amp;amp; Tam, 2006)&lt;/DisplayText&gt;&lt;record&gt;&lt;rec-number&gt;909&lt;/rec-number&gt;&lt;foreign-keys&gt;&lt;key app="EN" db-id="a2rsvzpeof2293e9sebptwz9ezdwezd52ax5" timestamp="1729256416"&gt;909&lt;/key&gt;&lt;/foreign-keys&gt;&lt;ref-type name="Journal Article"&gt;17&lt;/ref-type&gt;&lt;contributors&gt;&lt;authors&gt;&lt;author&gt;Thong, James Y. L.&lt;/author&gt;&lt;author&gt;Hong, Se-Joon&lt;/author&gt;&lt;author&gt;Tam, Kar Yan&lt;/author&gt;&lt;/authors&gt;&lt;/contributors&gt;&lt;titles&gt;&lt;title&gt;The effects of post-adoption beliefs on the expectation-confirmation model for information technology continuance&lt;/title&gt;&lt;secondary-title&gt;International Journal of Human-Computer Studies&lt;/secondary-title&gt;&lt;/titles&gt;&lt;periodical&gt;&lt;full-title&gt;International Journal of Human-Computer Studies&lt;/full-title&gt;&lt;/periodical&gt;&lt;pages&gt;799-810&lt;/pages&gt;&lt;volume&gt;64&lt;/volume&gt;&lt;number&gt;9&lt;/number&gt;&lt;keywords&gt;&lt;keyword&gt;Information technology continuance&lt;/keyword&gt;&lt;keyword&gt;Expectation-confirmation model&lt;/keyword&gt;&lt;keyword&gt;Technology acceptance&lt;/keyword&gt;&lt;keyword&gt;Post-adoption beliefs&lt;/keyword&gt;&lt;keyword&gt;Mobile internet services&lt;/keyword&gt;&lt;/keywords&gt;&lt;dates&gt;&lt;year&gt;2006&lt;/year&gt;&lt;pub-dates&gt;&lt;date&gt;2006/09/01/&lt;/date&gt;&lt;/pub-dates&gt;&lt;/dates&gt;&lt;isbn&gt;1071-5819&lt;/isbn&gt;&lt;urls&gt;&lt;related-urls&gt;&lt;url&gt;https://www.sciencedirect.com/science/article/pii/S1071581906000772&lt;/url&gt;&lt;/related-urls&gt;&lt;/urls&gt;&lt;electronic-resource-num&gt;https://doi.org/10.1016/j.ijhcs.2006.05.001&lt;/electronic-resource-num&gt;&lt;/record&gt;&lt;/Cite&gt;&lt;/EndNote&gt;</w:instrText>
      </w:r>
      <w:r w:rsidR="00B77237">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(Thong, Hong, &amp; Tam, 2006)</w:t>
      </w:r>
      <w:r w:rsidR="00B77237">
        <w:rPr>
          <w:rFonts w:ascii="Times New Roman" w:eastAsia="Times New Roman" w:hAnsi="Times New Roman" w:cs="Times New Roman"/>
          <w:sz w:val="24"/>
          <w:szCs w:val="24"/>
          <w:lang w:val="en-US"/>
        </w:rPr>
        <w:fldChar w:fldCharType="end"/>
      </w:r>
      <w:r w:rsidRPr="002F7362">
        <w:rPr>
          <w:rFonts w:ascii="Times New Roman" w:eastAsia="Times New Roman" w:hAnsi="Times New Roman" w:cs="Times New Roman"/>
          <w:sz w:val="24"/>
          <w:szCs w:val="24"/>
          <w:lang w:val="en-US"/>
        </w:rPr>
        <w:t>. When users perceive that their expectations of the technology have been met, they are more likely to develop positive attitudes toward it, which contributes to their overall satisfaction</w:t>
      </w:r>
      <w:r w:rsidR="00B77237">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&lt;EndNote&gt;&lt;Cite&gt;&lt;Author&gt;Bhattacherjee&lt;/Author&gt;&lt;Year&gt;2001&lt;/Year&gt;&lt;RecNum&gt;910&lt;/RecNum&gt;&lt;DisplayText&gt;(Bhattacherjee, 2001)&lt;/DisplayText&gt;&lt;record&gt;&lt;rec-number&gt;910&lt;/rec-number&gt;&lt;foreign-keys&gt;&lt;key app="EN" db-id="a2rsvzpeof2293e9sebptwz9ezdwezd52ax5" timestamp="1729256548"&gt;910&lt;/key&gt;&lt;/foreign-keys&gt;&lt;ref-type name="Journal Article"&gt;17&lt;/ref-type&gt;&lt;contributors&gt;&lt;authors&gt;&lt;author&gt;Bhattacherjee, Anol&lt;/author&gt;&lt;/authors&gt;&lt;/contributors&gt;&lt;titles&gt;&lt;title&gt;Understanding Information Systems Continuance: An Expectation-Confirmation Model&lt;/title&gt;&lt;secondary-title&gt;MIS Quarterly&lt;/secondary-title&gt;&lt;/titles&gt;&lt;periodical&gt;&lt;full-title&gt;MIS Quarterly&lt;/full-title&gt;&lt;/periodical&gt;&lt;pages&gt;351-370&lt;/pages&gt;&lt;volume&gt;25&lt;/volume&gt;&lt;number&gt;3&lt;/number&gt;&lt;dates&gt;&lt;year&gt;2001&lt;/year&gt;&lt;/dates&gt;&lt;publisher&gt;Management Information Systems Research Center, University of Minnesota&lt;/publisher&gt;&lt;isbn&gt;02767783&lt;/isbn&gt;&lt;urls&gt;&lt;related-urls&gt;&lt;url&gt;http://www.jstor.org/stable/3250921&lt;/url&gt;&lt;/related-urls&gt;&lt;/urls&gt;&lt;custom1&gt;Full publication date: Sep., 2001&lt;/custom1&gt;&lt;electronic-resource-num&gt;10.2307/3250921&lt;/electronic-resource-num&gt;&lt;remote-database-name&gt;JSTOR&lt;/remote-database-name&gt;&lt;access-date&gt;2024/10/18/&lt;/access-date&gt;&lt;/record&gt;&lt;/Cite&gt;&lt;/EndNote&gt;</w:instrText>
      </w:r>
      <w:r w:rsidR="00B77237">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(Bhattacherjee, 2001)</w:t>
      </w:r>
      <w:r w:rsidR="00B77237">
        <w:rPr>
          <w:rFonts w:ascii="Times New Roman" w:eastAsia="Times New Roman" w:hAnsi="Times New Roman" w:cs="Times New Roman"/>
          <w:sz w:val="24"/>
          <w:szCs w:val="24"/>
          <w:lang w:val="en-US"/>
        </w:rPr>
        <w:fldChar w:fldCharType="end"/>
      </w:r>
      <w:r w:rsidRPr="002F7362">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w:t>
      </w:r>
      <w:r w:rsidRPr="002F7362">
        <w:rPr>
          <w:rFonts w:ascii="Times New Roman" w:eastAsia="Times New Roman" w:hAnsi="Times New Roman" w:cs="Times New Roman"/>
          <w:sz w:val="24"/>
          <w:szCs w:val="24"/>
          <w:lang w:val="en-US"/>
        </w:rPr>
        <w:t xml:space="preserve">In the context of elderly people in Bangladesh, service confirmation refers to the degree to which </w:t>
      </w:r>
      <w:r w:rsidR="005D6E88">
        <w:rPr>
          <w:rFonts w:ascii="Times New Roman" w:eastAsia="Times New Roman" w:hAnsi="Times New Roman" w:cs="Times New Roman"/>
          <w:sz w:val="24"/>
          <w:szCs w:val="24"/>
          <w:lang w:val="en-US"/>
        </w:rPr>
        <w:t>Fintech</w:t>
      </w:r>
      <w:r w:rsidRPr="002F7362">
        <w:rPr>
          <w:rFonts w:ascii="Times New Roman" w:eastAsia="Times New Roman" w:hAnsi="Times New Roman" w:cs="Times New Roman"/>
          <w:sz w:val="24"/>
          <w:szCs w:val="24"/>
          <w:lang w:val="en-US"/>
        </w:rPr>
        <w:t xml:space="preserve"> services, such as mobile banking platforms, meet their expectations in terms of ease, convenience, and effectiveness. This is particularly important for this demographic, as many elderly users may have limited experience with digital technologies</w:t>
      </w:r>
      <w:r w:rsidR="00C06193">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&lt;EndNote&gt;&lt;Cite&gt;&lt;Author&gt;Chand&lt;/Author&gt;&lt;Year&gt;2018&lt;/Year&gt;&lt;RecNum&gt;911&lt;/RecNum&gt;&lt;DisplayText&gt;(Chand, 2018)&lt;/DisplayText&gt;&lt;record&gt;&lt;rec-number&gt;911&lt;/rec-number&gt;&lt;foreign-keys&gt;&lt;key app="EN" db-id="a2rsvzpeof2293e9sebptwz9ezdwezd52ax5" timestamp="1729256832"&gt;911&lt;/key&gt;&lt;/foreign-keys&gt;&lt;ref-type name="Journal Article"&gt;17&lt;/ref-type&gt;&lt;contributors&gt;&lt;authors&gt;&lt;author&gt;Chand, Masud&lt;/author&gt;&lt;/authors&gt;&lt;/contributors&gt;&lt;titles&gt;&lt;title&gt;Aging in South Asia: challenges and opportunities&lt;/title&gt;&lt;secondary-title&gt;South Asian Journal of Business Studies&lt;/secondary-title&gt;&lt;/titles&gt;&lt;periodical&gt;&lt;full-title&gt;South Asian Journal of Business Studies&lt;/full-title&gt;&lt;/periodical&gt;&lt;pages&gt;189-206&lt;/pages&gt;&lt;volume&gt;7&lt;/volume&gt;&lt;number&gt;2&lt;/number&gt;&lt;dates&gt;&lt;year&gt;2018&lt;/year&gt;&lt;/dates&gt;&lt;publisher&gt;Emerald Publishing Limited&lt;/publisher&gt;&lt;isbn&gt;2398-628X&lt;/isbn&gt;&lt;urls&gt;&lt;related-urls&gt;&lt;url&gt;https://doi.org/10.1108/SAJBS-09-2017-0103&lt;/url&gt;&lt;/related-urls&gt;&lt;/urls&gt;&lt;electronic-resource-num&gt;10.1108/SAJBS-09-2017-0103&lt;/electronic-resource-num&gt;&lt;access-date&gt;2024/10/18&lt;/access-date&gt;&lt;/record&gt;&lt;/Cite&gt;&lt;/EndNote&gt;</w:instrText>
      </w:r>
      <w:r w:rsidR="00C06193">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(Chand, 2018)</w:t>
      </w:r>
      <w:r w:rsidR="00C06193">
        <w:rPr>
          <w:rFonts w:ascii="Times New Roman" w:eastAsia="Times New Roman" w:hAnsi="Times New Roman" w:cs="Times New Roman"/>
          <w:sz w:val="24"/>
          <w:szCs w:val="24"/>
          <w:lang w:val="en-US"/>
        </w:rPr>
        <w:fldChar w:fldCharType="end"/>
      </w:r>
      <w:r w:rsidRPr="002F7362">
        <w:rPr>
          <w:rFonts w:ascii="Times New Roman" w:eastAsia="Times New Roman" w:hAnsi="Times New Roman" w:cs="Times New Roman"/>
          <w:sz w:val="24"/>
          <w:szCs w:val="24"/>
          <w:lang w:val="en-US"/>
        </w:rPr>
        <w:t xml:space="preserve">. They may face challenges related to learning new platforms, anxiety around digital transactions, or concerns about security. Therefore, if their experience with </w:t>
      </w:r>
      <w:r w:rsidR="005D6E88">
        <w:rPr>
          <w:rFonts w:ascii="Times New Roman" w:eastAsia="Times New Roman" w:hAnsi="Times New Roman" w:cs="Times New Roman"/>
          <w:sz w:val="24"/>
          <w:szCs w:val="24"/>
          <w:lang w:val="en-US"/>
        </w:rPr>
        <w:t>Fintech</w:t>
      </w:r>
      <w:r w:rsidRPr="002F7362">
        <w:rPr>
          <w:rFonts w:ascii="Times New Roman" w:eastAsia="Times New Roman" w:hAnsi="Times New Roman" w:cs="Times New Roman"/>
          <w:sz w:val="24"/>
          <w:szCs w:val="24"/>
          <w:lang w:val="en-US"/>
        </w:rPr>
        <w:t xml:space="preserve"> meets or exceeds their expectations, it fosters a sense of confidence in using these services, which in turn increases their satisfaction.</w:t>
      </w:r>
    </w:p>
    <w:p w:rsidR="00000E4C" w:rsidRPr="00F96FC1" w:rsidRDefault="002F7362" w:rsidP="00D16D0F">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F96FC1">
        <w:rPr>
          <w:rFonts w:ascii="Times New Roman" w:eastAsia="Times New Roman" w:hAnsi="Times New Roman" w:cs="Times New Roman"/>
          <w:sz w:val="24"/>
          <w:szCs w:val="24"/>
          <w:lang w:val="en-US"/>
        </w:rPr>
        <w:t xml:space="preserve">When this ease of use is confirmed, elderly users feel more comfortable and confident in their ability to navigate the platform independently, leading to increased satisfaction. The </w:t>
      </w:r>
      <w:r w:rsidRPr="00F96FC1">
        <w:rPr>
          <w:rFonts w:ascii="Times New Roman" w:eastAsia="Times New Roman" w:hAnsi="Times New Roman" w:cs="Times New Roman"/>
          <w:bCs/>
          <w:sz w:val="24"/>
          <w:szCs w:val="24"/>
          <w:lang w:val="en-US"/>
        </w:rPr>
        <w:t>confirmation of ease of use</w:t>
      </w:r>
      <w:r w:rsidRPr="00F96FC1">
        <w:rPr>
          <w:rFonts w:ascii="Times New Roman" w:eastAsia="Times New Roman" w:hAnsi="Times New Roman" w:cs="Times New Roman"/>
          <w:sz w:val="24"/>
          <w:szCs w:val="24"/>
          <w:lang w:val="en-US"/>
        </w:rPr>
        <w:t xml:space="preserve"> is especially critical for elderly populations who may be hesitant to adopt new technologies. For elderly people in Bangladesh, confirmation also has broader socio-economic implications. Many elderly individuals in rural or underbanked areas may rely heavily on </w:t>
      </w:r>
      <w:r w:rsidR="005D6E88">
        <w:rPr>
          <w:rFonts w:ascii="Times New Roman" w:eastAsia="Times New Roman" w:hAnsi="Times New Roman" w:cs="Times New Roman"/>
          <w:sz w:val="24"/>
          <w:szCs w:val="24"/>
          <w:lang w:val="en-US"/>
        </w:rPr>
        <w:t>Fintech</w:t>
      </w:r>
      <w:r w:rsidRPr="00F96FC1">
        <w:rPr>
          <w:rFonts w:ascii="Times New Roman" w:eastAsia="Times New Roman" w:hAnsi="Times New Roman" w:cs="Times New Roman"/>
          <w:sz w:val="24"/>
          <w:szCs w:val="24"/>
          <w:lang w:val="en-US"/>
        </w:rPr>
        <w:t xml:space="preserve"> for essential financial services due to limited access to traditional banking infrastructure. If </w:t>
      </w:r>
      <w:r w:rsidR="005D6E88">
        <w:rPr>
          <w:rFonts w:ascii="Times New Roman" w:eastAsia="Times New Roman" w:hAnsi="Times New Roman" w:cs="Times New Roman"/>
          <w:sz w:val="24"/>
          <w:szCs w:val="24"/>
          <w:lang w:val="en-US"/>
        </w:rPr>
        <w:t>Fintech</w:t>
      </w:r>
      <w:r w:rsidRPr="00F96FC1">
        <w:rPr>
          <w:rFonts w:ascii="Times New Roman" w:eastAsia="Times New Roman" w:hAnsi="Times New Roman" w:cs="Times New Roman"/>
          <w:sz w:val="24"/>
          <w:szCs w:val="24"/>
          <w:lang w:val="en-US"/>
        </w:rPr>
        <w:t xml:space="preserve"> platforms can meet their expectations by providing easy, secure, and efficient services, elderly users are more likely to develop a positive attitude toward these technologies. This aligns with </w:t>
      </w:r>
      <w:proofErr w:type="spellStart"/>
      <w:r w:rsidRPr="00F96FC1">
        <w:rPr>
          <w:rFonts w:ascii="Times New Roman" w:eastAsia="Times New Roman" w:hAnsi="Times New Roman" w:cs="Times New Roman"/>
          <w:sz w:val="24"/>
          <w:szCs w:val="24"/>
          <w:lang w:val="en-US"/>
        </w:rPr>
        <w:t>Bhattacherjee’s</w:t>
      </w:r>
      <w:proofErr w:type="spellEnd"/>
      <w:r w:rsidRPr="00F96FC1">
        <w:rPr>
          <w:rFonts w:ascii="Times New Roman" w:eastAsia="Times New Roman" w:hAnsi="Times New Roman" w:cs="Times New Roman"/>
          <w:sz w:val="24"/>
          <w:szCs w:val="24"/>
          <w:lang w:val="en-US"/>
        </w:rPr>
        <w:t xml:space="preserve"> (2001) </w:t>
      </w:r>
      <w:r w:rsidRPr="00F96FC1">
        <w:rPr>
          <w:rFonts w:ascii="Times New Roman" w:eastAsia="Times New Roman" w:hAnsi="Times New Roman" w:cs="Times New Roman"/>
          <w:bCs/>
          <w:sz w:val="24"/>
          <w:szCs w:val="24"/>
          <w:lang w:val="en-US"/>
        </w:rPr>
        <w:t>Expectation-Confirmation Theory (ECT)</w:t>
      </w:r>
      <w:r w:rsidRPr="00F96FC1">
        <w:rPr>
          <w:rFonts w:ascii="Times New Roman" w:eastAsia="Times New Roman" w:hAnsi="Times New Roman" w:cs="Times New Roman"/>
          <w:sz w:val="24"/>
          <w:szCs w:val="24"/>
          <w:lang w:val="en-US"/>
        </w:rPr>
        <w:t>, which posits that the alignment between expectations and actual experiences leads to increased user satisfaction and continued use.</w:t>
      </w:r>
      <w:r w:rsidR="00000E4C" w:rsidRPr="00F96FC1">
        <w:rPr>
          <w:rFonts w:ascii="Times New Roman" w:eastAsia="Times New Roman" w:hAnsi="Times New Roman" w:cs="Times New Roman"/>
          <w:sz w:val="24"/>
          <w:szCs w:val="24"/>
          <w:lang w:val="en-US"/>
        </w:rPr>
        <w:t xml:space="preserve"> </w:t>
      </w:r>
      <w:r w:rsidRPr="00F96FC1">
        <w:rPr>
          <w:rFonts w:ascii="Times New Roman" w:eastAsia="Times New Roman" w:hAnsi="Times New Roman" w:cs="Times New Roman"/>
          <w:sz w:val="24"/>
          <w:szCs w:val="24"/>
          <w:lang w:val="en-US"/>
        </w:rPr>
        <w:t xml:space="preserve">Furthermore, </w:t>
      </w:r>
      <w:r w:rsidRPr="00F96FC1">
        <w:rPr>
          <w:rFonts w:ascii="Times New Roman" w:eastAsia="Times New Roman" w:hAnsi="Times New Roman" w:cs="Times New Roman"/>
          <w:bCs/>
          <w:sz w:val="24"/>
          <w:szCs w:val="24"/>
          <w:lang w:val="en-US"/>
        </w:rPr>
        <w:t>service confirmation</w:t>
      </w:r>
      <w:r w:rsidRPr="00F96FC1">
        <w:rPr>
          <w:rFonts w:ascii="Times New Roman" w:eastAsia="Times New Roman" w:hAnsi="Times New Roman" w:cs="Times New Roman"/>
          <w:sz w:val="24"/>
          <w:szCs w:val="24"/>
          <w:lang w:val="en-US"/>
        </w:rPr>
        <w:t xml:space="preserve"> helps reduce uncertainty and anxiety among elderly users. </w:t>
      </w:r>
    </w:p>
    <w:p w:rsidR="002F7362" w:rsidRDefault="002F7362" w:rsidP="00D16D0F">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2F7362">
        <w:rPr>
          <w:rFonts w:ascii="Times New Roman" w:eastAsia="Times New Roman" w:hAnsi="Times New Roman" w:cs="Times New Roman"/>
          <w:sz w:val="24"/>
          <w:szCs w:val="24"/>
          <w:lang w:val="en-US"/>
        </w:rPr>
        <w:t xml:space="preserve">Research shows that the elderly often experience heightened levels of discomfort when using unfamiliar technology, particularly if they are concerned about security, privacy, or the reliability of digital platforms </w:t>
      </w:r>
      <w:r w:rsidR="00AC2F5A">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&lt;EndNote&gt;&lt;Cite&gt;&lt;Author&gt;Lee&lt;/Author&gt;&lt;Year&gt;2019&lt;/Year&gt;&lt;RecNum&gt;912&lt;/RecNum&gt;&lt;DisplayText&gt;(Lee &amp;amp; Lee, 2019)&lt;/DisplayText&gt;&lt;record&gt;&lt;rec-number&gt;912&lt;/rec-number&gt;&lt;foreign-keys&gt;&lt;key app="EN" db-id="a2rsvzpeof2293e9sebptwz9ezdwezd52ax5" timestamp="1729257019"&gt;912&lt;/key&gt;&lt;/foreign-keys&gt;&lt;ref-type name="Journal Article"&gt;17&lt;/ref-type&gt;&lt;contributors&gt;&lt;authors&gt;&lt;author&gt;Lee, Jin Woo&lt;/author&gt;&lt;author&gt;Lee, Soo Hee&lt;/author&gt;&lt;/authors&gt;&lt;/contributors&gt;&lt;titles&gt;&lt;title&gt;User participation and valuation in digital art platforms: the case of Saatchi Art&lt;/title&gt;&lt;secondary-title&gt;European Journal of Marketing&lt;/secondary-title&gt;&lt;/titles&gt;&lt;periodical&gt;&lt;full-title&gt;European Journal of Marketing&lt;/full-title&gt;&lt;/periodical&gt;&lt;pages&gt;1125-1151&lt;/pages&gt;&lt;volume&gt;53&lt;/volume&gt;&lt;number&gt;6&lt;/number&gt;&lt;dates&gt;&lt;year&gt;2019&lt;/year&gt;&lt;/dates&gt;&lt;publisher&gt;Emerald Publishing Limited&lt;/publisher&gt;&lt;isbn&gt;0309-0566&lt;/isbn&gt;&lt;urls&gt;&lt;related-urls&gt;&lt;url&gt;https://doi.org/10.1108/EJM-12-2016-0788&lt;/url&gt;&lt;/related-urls&gt;&lt;/urls&gt;&lt;electronic-resource-num&gt;10.1108/EJM-12-2016-0788&lt;/electronic-resource-num&gt;&lt;access-date&gt;2024/10/18&lt;/access-date&gt;&lt;/record&gt;&lt;/Cite&gt;&lt;/EndNote&gt;</w:instrText>
      </w:r>
      <w:r w:rsidR="00AC2F5A">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(Lee &amp; Lee, 2019)</w:t>
      </w:r>
      <w:r w:rsidR="00AC2F5A">
        <w:rPr>
          <w:rFonts w:ascii="Times New Roman" w:eastAsia="Times New Roman" w:hAnsi="Times New Roman" w:cs="Times New Roman"/>
          <w:sz w:val="24"/>
          <w:szCs w:val="24"/>
          <w:lang w:val="en-US"/>
        </w:rPr>
        <w:fldChar w:fldCharType="end"/>
      </w:r>
      <w:r w:rsidR="00AC2F5A">
        <w:rPr>
          <w:rFonts w:ascii="Times New Roman" w:eastAsia="Times New Roman" w:hAnsi="Times New Roman" w:cs="Times New Roman"/>
          <w:sz w:val="24"/>
          <w:szCs w:val="24"/>
          <w:lang w:val="en-US"/>
        </w:rPr>
        <w:t>.</w:t>
      </w:r>
      <w:r w:rsidRPr="002F7362">
        <w:rPr>
          <w:rFonts w:ascii="Times New Roman" w:eastAsia="Times New Roman" w:hAnsi="Times New Roman" w:cs="Times New Roman"/>
          <w:sz w:val="24"/>
          <w:szCs w:val="24"/>
          <w:lang w:val="en-US"/>
        </w:rPr>
        <w:t xml:space="preserve"> When </w:t>
      </w:r>
      <w:r w:rsidR="005D6E88">
        <w:rPr>
          <w:rFonts w:ascii="Times New Roman" w:eastAsia="Times New Roman" w:hAnsi="Times New Roman" w:cs="Times New Roman"/>
          <w:sz w:val="24"/>
          <w:szCs w:val="24"/>
          <w:lang w:val="en-US"/>
        </w:rPr>
        <w:t>Fintech</w:t>
      </w:r>
      <w:r w:rsidRPr="002F7362">
        <w:rPr>
          <w:rFonts w:ascii="Times New Roman" w:eastAsia="Times New Roman" w:hAnsi="Times New Roman" w:cs="Times New Roman"/>
          <w:sz w:val="24"/>
          <w:szCs w:val="24"/>
          <w:lang w:val="en-US"/>
        </w:rPr>
        <w:t xml:space="preserve"> services confirm their expectations of being safe and reliable, elderly users are more likely to overcome these barriers, leading to higher satisfaction.</w:t>
      </w:r>
      <w:r w:rsidR="00000E4C">
        <w:rPr>
          <w:rFonts w:ascii="Times New Roman" w:eastAsia="Times New Roman" w:hAnsi="Times New Roman" w:cs="Times New Roman"/>
          <w:sz w:val="24"/>
          <w:szCs w:val="24"/>
          <w:lang w:val="en-US"/>
        </w:rPr>
        <w:t xml:space="preserve"> </w:t>
      </w:r>
      <w:r w:rsidR="00000E4C" w:rsidRPr="001E3B38">
        <w:rPr>
          <w:rFonts w:ascii="Times New Roman" w:eastAsia="Times New Roman" w:hAnsi="Times New Roman" w:cs="Times New Roman"/>
          <w:bCs/>
          <w:sz w:val="24"/>
          <w:szCs w:val="24"/>
          <w:lang w:val="en-US"/>
        </w:rPr>
        <w:t>S</w:t>
      </w:r>
      <w:r w:rsidRPr="001E3B38">
        <w:rPr>
          <w:rFonts w:ascii="Times New Roman" w:eastAsia="Times New Roman" w:hAnsi="Times New Roman" w:cs="Times New Roman"/>
          <w:bCs/>
          <w:sz w:val="24"/>
          <w:szCs w:val="24"/>
          <w:lang w:val="en-US"/>
        </w:rPr>
        <w:t>ervice confirmation</w:t>
      </w:r>
      <w:r w:rsidRPr="002F7362">
        <w:rPr>
          <w:rFonts w:ascii="Times New Roman" w:eastAsia="Times New Roman" w:hAnsi="Times New Roman" w:cs="Times New Roman"/>
          <w:sz w:val="24"/>
          <w:szCs w:val="24"/>
          <w:lang w:val="en-US"/>
        </w:rPr>
        <w:t xml:space="preserve"> plays a pivotal role in influencing the satisfaction of elderly people using </w:t>
      </w:r>
      <w:r w:rsidR="005D6E88">
        <w:rPr>
          <w:rFonts w:ascii="Times New Roman" w:eastAsia="Times New Roman" w:hAnsi="Times New Roman" w:cs="Times New Roman"/>
          <w:sz w:val="24"/>
          <w:szCs w:val="24"/>
          <w:lang w:val="en-US"/>
        </w:rPr>
        <w:t>Fintech</w:t>
      </w:r>
      <w:r w:rsidRPr="002F7362">
        <w:rPr>
          <w:rFonts w:ascii="Times New Roman" w:eastAsia="Times New Roman" w:hAnsi="Times New Roman" w:cs="Times New Roman"/>
          <w:sz w:val="24"/>
          <w:szCs w:val="24"/>
          <w:lang w:val="en-US"/>
        </w:rPr>
        <w:t xml:space="preserve"> in Bangladesh. When their expectations regarding the ease of use, convenience, and effectiveness of the technology are confirmed, it strengthens their confidence and satisfaction with </w:t>
      </w:r>
      <w:r w:rsidR="005D6E88">
        <w:rPr>
          <w:rFonts w:ascii="Times New Roman" w:eastAsia="Times New Roman" w:hAnsi="Times New Roman" w:cs="Times New Roman"/>
          <w:sz w:val="24"/>
          <w:szCs w:val="24"/>
          <w:lang w:val="en-US"/>
        </w:rPr>
        <w:t>Fintech</w:t>
      </w:r>
      <w:r w:rsidRPr="002F7362">
        <w:rPr>
          <w:rFonts w:ascii="Times New Roman" w:eastAsia="Times New Roman" w:hAnsi="Times New Roman" w:cs="Times New Roman"/>
          <w:sz w:val="24"/>
          <w:szCs w:val="24"/>
          <w:lang w:val="en-US"/>
        </w:rPr>
        <w:t xml:space="preserve"> platforms. As highlighted by both the TAM and UTAUT models, confirmation reinforces perceived usefulness and perceived ease of use, leading to greater satisfaction with the technology. In the case of elderly users in Bangladesh, </w:t>
      </w:r>
      <w:r w:rsidR="005D6E88">
        <w:rPr>
          <w:rFonts w:ascii="Times New Roman" w:eastAsia="Times New Roman" w:hAnsi="Times New Roman" w:cs="Times New Roman"/>
          <w:sz w:val="24"/>
          <w:szCs w:val="24"/>
          <w:lang w:val="en-US"/>
        </w:rPr>
        <w:t>Fintech</w:t>
      </w:r>
      <w:r w:rsidRPr="002F7362">
        <w:rPr>
          <w:rFonts w:ascii="Times New Roman" w:eastAsia="Times New Roman" w:hAnsi="Times New Roman" w:cs="Times New Roman"/>
          <w:sz w:val="24"/>
          <w:szCs w:val="24"/>
          <w:lang w:val="en-US"/>
        </w:rPr>
        <w:t xml:space="preserve"> services that meet their expectations of accessibility, convenience, and security contribute to a positive overall experience, increasing their satisfaction and likelihood of continued use.</w:t>
      </w:r>
    </w:p>
    <w:p w:rsidR="00D2103F" w:rsidRDefault="00D2103F" w:rsidP="00D2103F">
      <w:pPr>
        <w:spacing w:before="100" w:beforeAutospacing="1" w:after="100" w:afterAutospacing="1" w:line="360" w:lineRule="auto"/>
        <w:jc w:val="both"/>
        <w:rPr>
          <w:rFonts w:ascii="Times New Roman" w:eastAsia="Times New Roman" w:hAnsi="Times New Roman" w:cs="Times New Roman"/>
          <w:i/>
          <w:sz w:val="24"/>
          <w:szCs w:val="24"/>
          <w:lang w:val="en-US"/>
        </w:rPr>
      </w:pPr>
      <w:r w:rsidRPr="00D16D0F">
        <w:rPr>
          <w:rFonts w:ascii="Times New Roman" w:eastAsia="Times New Roman" w:hAnsi="Times New Roman" w:cs="Times New Roman"/>
          <w:b/>
          <w:i/>
          <w:sz w:val="24"/>
          <w:szCs w:val="24"/>
          <w:lang w:val="en-US"/>
        </w:rPr>
        <w:t>Hypothesis 1:</w:t>
      </w:r>
      <w:r w:rsidRPr="00D16D0F">
        <w:rPr>
          <w:rFonts w:ascii="Times New Roman" w:eastAsia="Times New Roman" w:hAnsi="Times New Roman" w:cs="Times New Roman"/>
          <w:i/>
          <w:sz w:val="24"/>
          <w:szCs w:val="24"/>
          <w:lang w:val="en-US"/>
        </w:rPr>
        <w:t xml:space="preserve"> </w:t>
      </w:r>
      <w:r w:rsidR="00D16D0F">
        <w:rPr>
          <w:rFonts w:ascii="Times New Roman" w:eastAsia="Times New Roman" w:hAnsi="Times New Roman" w:cs="Times New Roman"/>
          <w:i/>
          <w:sz w:val="24"/>
          <w:szCs w:val="24"/>
          <w:lang w:val="en-US"/>
        </w:rPr>
        <w:t xml:space="preserve">Service </w:t>
      </w:r>
      <w:r w:rsidRPr="00D16D0F">
        <w:rPr>
          <w:rFonts w:ascii="Times New Roman" w:eastAsia="Times New Roman" w:hAnsi="Times New Roman" w:cs="Times New Roman"/>
          <w:i/>
          <w:sz w:val="24"/>
          <w:szCs w:val="24"/>
          <w:lang w:val="en-US"/>
        </w:rPr>
        <w:t>Confirmation Positively Influences Perceived Ease of Use (PEU)</w:t>
      </w:r>
      <w:r w:rsidR="00D16D0F">
        <w:rPr>
          <w:rFonts w:ascii="Times New Roman" w:eastAsia="Times New Roman" w:hAnsi="Times New Roman" w:cs="Times New Roman"/>
          <w:i/>
          <w:sz w:val="24"/>
          <w:szCs w:val="24"/>
          <w:lang w:val="en-US"/>
        </w:rPr>
        <w:t xml:space="preserve"> of </w:t>
      </w:r>
      <w:r w:rsidR="005D6E88">
        <w:rPr>
          <w:rFonts w:ascii="Times New Roman" w:eastAsia="Times New Roman" w:hAnsi="Times New Roman" w:cs="Times New Roman"/>
          <w:i/>
          <w:sz w:val="24"/>
          <w:szCs w:val="24"/>
          <w:lang w:val="en-US"/>
        </w:rPr>
        <w:t>Fintech</w:t>
      </w:r>
      <w:r w:rsidR="00D16D0F">
        <w:rPr>
          <w:rFonts w:ascii="Times New Roman" w:eastAsia="Times New Roman" w:hAnsi="Times New Roman" w:cs="Times New Roman"/>
          <w:i/>
          <w:sz w:val="24"/>
          <w:szCs w:val="24"/>
          <w:lang w:val="en-US"/>
        </w:rPr>
        <w:t xml:space="preserve"> among the elderly of Bangladesh.</w:t>
      </w:r>
    </w:p>
    <w:p w:rsidR="00D16D0F" w:rsidRPr="00D16D0F" w:rsidRDefault="00D16D0F" w:rsidP="00D2103F">
      <w:pPr>
        <w:spacing w:before="100" w:beforeAutospacing="1" w:after="100" w:afterAutospacing="1" w:line="360" w:lineRule="auto"/>
        <w:jc w:val="both"/>
        <w:rPr>
          <w:rFonts w:ascii="Times New Roman" w:eastAsia="Times New Roman" w:hAnsi="Times New Roman" w:cs="Times New Roman"/>
          <w:b/>
          <w:sz w:val="24"/>
          <w:szCs w:val="24"/>
          <w:lang w:val="en-US"/>
        </w:rPr>
      </w:pPr>
      <w:r w:rsidRPr="00D16D0F">
        <w:rPr>
          <w:rFonts w:ascii="Times New Roman" w:eastAsia="Times New Roman" w:hAnsi="Times New Roman" w:cs="Times New Roman"/>
          <w:b/>
          <w:sz w:val="24"/>
          <w:szCs w:val="24"/>
          <w:lang w:val="en-US"/>
        </w:rPr>
        <w:t>Perceived Ease of Use, Perceived Usefulness and Satisfaction</w:t>
      </w:r>
    </w:p>
    <w:p w:rsidR="004649E1" w:rsidRPr="00F96FC1" w:rsidRDefault="004649E1" w:rsidP="00D16D0F">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F96FC1">
        <w:rPr>
          <w:rFonts w:ascii="Times New Roman" w:eastAsia="Times New Roman" w:hAnsi="Times New Roman" w:cs="Times New Roman"/>
          <w:sz w:val="24"/>
          <w:szCs w:val="24"/>
          <w:lang w:val="en-US"/>
        </w:rPr>
        <w:t xml:space="preserve">This hypothesis suggests that as elderly people in Bangladesh perceive </w:t>
      </w:r>
      <w:r w:rsidR="005D6E88">
        <w:rPr>
          <w:rFonts w:ascii="Times New Roman" w:eastAsia="Times New Roman" w:hAnsi="Times New Roman" w:cs="Times New Roman"/>
          <w:sz w:val="24"/>
          <w:szCs w:val="24"/>
          <w:lang w:val="en-US"/>
        </w:rPr>
        <w:t>Fintech</w:t>
      </w:r>
      <w:r w:rsidRPr="00F96FC1">
        <w:rPr>
          <w:rFonts w:ascii="Times New Roman" w:eastAsia="Times New Roman" w:hAnsi="Times New Roman" w:cs="Times New Roman"/>
          <w:sz w:val="24"/>
          <w:szCs w:val="24"/>
          <w:lang w:val="en-US"/>
        </w:rPr>
        <w:t xml:space="preserve"> services as more useful, their satisfaction with these services will increase. The </w:t>
      </w:r>
      <w:r w:rsidRPr="00F96FC1">
        <w:rPr>
          <w:rFonts w:ascii="Times New Roman" w:eastAsia="Times New Roman" w:hAnsi="Times New Roman" w:cs="Times New Roman"/>
          <w:bCs/>
          <w:sz w:val="24"/>
          <w:szCs w:val="24"/>
          <w:lang w:val="en-US"/>
        </w:rPr>
        <w:t>Technology Acceptance Model (TAM)</w:t>
      </w:r>
      <w:r w:rsidRPr="00F96FC1">
        <w:rPr>
          <w:rFonts w:ascii="Times New Roman" w:eastAsia="Times New Roman" w:hAnsi="Times New Roman" w:cs="Times New Roman"/>
          <w:sz w:val="24"/>
          <w:szCs w:val="24"/>
          <w:lang w:val="en-US"/>
        </w:rPr>
        <w:t xml:space="preserve"> provides a theoretical framework to explain how </w:t>
      </w:r>
      <w:r w:rsidRPr="00F96FC1">
        <w:rPr>
          <w:rFonts w:ascii="Times New Roman" w:eastAsia="Times New Roman" w:hAnsi="Times New Roman" w:cs="Times New Roman"/>
          <w:bCs/>
          <w:sz w:val="24"/>
          <w:szCs w:val="24"/>
          <w:lang w:val="en-US"/>
        </w:rPr>
        <w:t>Perceived Usefulness (PU)</w:t>
      </w:r>
      <w:r w:rsidRPr="00F96FC1">
        <w:rPr>
          <w:rFonts w:ascii="Times New Roman" w:eastAsia="Times New Roman" w:hAnsi="Times New Roman" w:cs="Times New Roman"/>
          <w:sz w:val="24"/>
          <w:szCs w:val="24"/>
          <w:lang w:val="en-US"/>
        </w:rPr>
        <w:t xml:space="preserve"> influences user satisfaction with technology. Specifically, TAM posits that </w:t>
      </w:r>
      <w:r w:rsidRPr="00F96FC1">
        <w:rPr>
          <w:rFonts w:ascii="Times New Roman" w:eastAsia="Times New Roman" w:hAnsi="Times New Roman" w:cs="Times New Roman"/>
          <w:bCs/>
          <w:sz w:val="24"/>
          <w:szCs w:val="24"/>
          <w:lang w:val="en-US"/>
        </w:rPr>
        <w:t>PU</w:t>
      </w:r>
      <w:r w:rsidRPr="00F96FC1">
        <w:rPr>
          <w:rFonts w:ascii="Times New Roman" w:eastAsia="Times New Roman" w:hAnsi="Times New Roman" w:cs="Times New Roman"/>
          <w:sz w:val="24"/>
          <w:szCs w:val="24"/>
          <w:lang w:val="en-US"/>
        </w:rPr>
        <w:t xml:space="preserve"> and </w:t>
      </w:r>
      <w:r w:rsidRPr="00F96FC1">
        <w:rPr>
          <w:rFonts w:ascii="Times New Roman" w:eastAsia="Times New Roman" w:hAnsi="Times New Roman" w:cs="Times New Roman"/>
          <w:bCs/>
          <w:sz w:val="24"/>
          <w:szCs w:val="24"/>
          <w:lang w:val="en-US"/>
        </w:rPr>
        <w:t>Perceived Ease of Use (PEU)</w:t>
      </w:r>
      <w:r w:rsidRPr="00F96FC1">
        <w:rPr>
          <w:rFonts w:ascii="Times New Roman" w:eastAsia="Times New Roman" w:hAnsi="Times New Roman" w:cs="Times New Roman"/>
          <w:sz w:val="24"/>
          <w:szCs w:val="24"/>
          <w:lang w:val="en-US"/>
        </w:rPr>
        <w:t xml:space="preserve"> are two critical factors that determine whether a person adopts and is satisfied with a particular technology </w:t>
      </w:r>
      <w:r w:rsidR="00AC2F5A">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&lt;EndNote&gt;&lt;Cite&gt;&lt;Author&gt;Venkatesh&lt;/Author&gt;&lt;Year&gt;1996&lt;/Year&gt;&lt;RecNum&gt;913&lt;/RecNum&gt;&lt;DisplayText&gt;(Venkatesh &amp;amp; Davis, 1996)&lt;/DisplayText&gt;&lt;record&gt;&lt;rec-number&gt;913&lt;/rec-number&gt;&lt;foreign-keys&gt;&lt;key app="EN" db-id="a2rsvzpeof2293e9sebptwz9ezdwezd52ax5" timestamp="1729257226"&gt;913&lt;/key&gt;&lt;/foreign-keys&gt;&lt;ref-type name="Journal Article"&gt;17&lt;/ref-type&gt;&lt;contributors&gt;&lt;authors&gt;&lt;author&gt;Venkatesh, Viswanath&lt;/author&gt;&lt;author&gt;Davis, Fred D.&lt;/author&gt;&lt;/authors&gt;&lt;/contributors&gt;&lt;titles&gt;&lt;title&gt;A Model of the Antecedents of Perceived Ease of Use: Development and Test&lt;/title&gt;&lt;secondary-title&gt;Decision Sciences&lt;/secondary-title&gt;&lt;/titles&gt;&lt;periodical&gt;&lt;full-title&gt;Decision Sciences&lt;/full-title&gt;&lt;/periodical&gt;&lt;pages&gt;451-481&lt;/pages&gt;&lt;volume&gt;27&lt;/volume&gt;&lt;number&gt;3&lt;/number&gt;&lt;keywords&gt;&lt;keyword&gt;Computer Self-Efficacy&lt;/keyword&gt;&lt;keyword&gt;Perceived Ease of Use&lt;/keyword&gt;&lt;keyword&gt;Technology Acceptance Model&lt;/keyword&gt;&lt;/keywords&gt;&lt;dates&gt;&lt;year&gt;1996&lt;/year&gt;&lt;pub-dates&gt;&lt;date&gt;1996/09/01&lt;/date&gt;&lt;/pub-dates&gt;&lt;/dates&gt;&lt;publisher&gt;John Wiley &amp;amp; Sons, Ltd&lt;/publisher&gt;&lt;isbn&gt;0011-7315&lt;/isbn&gt;&lt;urls&gt;&lt;related-urls&gt;&lt;url&gt;https://doi.org/10.1111/j.1540-5915.1996.tb00860.x&lt;/url&gt;&lt;/related-urls&gt;&lt;/urls&gt;&lt;electronic-resource-num&gt;https://doi.org/10.1111/j.1540-5915.1996.tb00860.x&lt;/electronic-resource-num&gt;&lt;access-date&gt;2024/10/18&lt;/access-date&gt;&lt;/record&gt;&lt;/Cite&gt;&lt;/EndNote&gt;</w:instrText>
      </w:r>
      <w:r w:rsidR="00AC2F5A">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(Venkatesh &amp; Davis, 1996)</w:t>
      </w:r>
      <w:r w:rsidR="00AC2F5A">
        <w:rPr>
          <w:rFonts w:ascii="Times New Roman" w:eastAsia="Times New Roman" w:hAnsi="Times New Roman" w:cs="Times New Roman"/>
          <w:sz w:val="24"/>
          <w:szCs w:val="24"/>
          <w:lang w:val="en-US"/>
        </w:rPr>
        <w:fldChar w:fldCharType="end"/>
      </w:r>
      <w:r w:rsidRPr="00F96FC1">
        <w:rPr>
          <w:rFonts w:ascii="Times New Roman" w:eastAsia="Times New Roman" w:hAnsi="Times New Roman" w:cs="Times New Roman"/>
          <w:sz w:val="24"/>
          <w:szCs w:val="24"/>
          <w:lang w:val="en-US"/>
        </w:rPr>
        <w:t xml:space="preserve">. While both PU and PEU play essential roles, this hypothesis focuses on the direct impact of PU on satisfaction, particularly among elderly </w:t>
      </w:r>
      <w:r w:rsidR="005D6E88">
        <w:rPr>
          <w:rFonts w:ascii="Times New Roman" w:eastAsia="Times New Roman" w:hAnsi="Times New Roman" w:cs="Times New Roman"/>
          <w:sz w:val="24"/>
          <w:szCs w:val="24"/>
          <w:lang w:val="en-US"/>
        </w:rPr>
        <w:t>Fintech</w:t>
      </w:r>
      <w:r w:rsidRPr="00F96FC1">
        <w:rPr>
          <w:rFonts w:ascii="Times New Roman" w:eastAsia="Times New Roman" w:hAnsi="Times New Roman" w:cs="Times New Roman"/>
          <w:sz w:val="24"/>
          <w:szCs w:val="24"/>
          <w:lang w:val="en-US"/>
        </w:rPr>
        <w:t xml:space="preserve"> users in Bangladesh.</w:t>
      </w:r>
    </w:p>
    <w:p w:rsidR="004649E1" w:rsidRPr="00F96FC1" w:rsidRDefault="004649E1" w:rsidP="00D16D0F">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F96FC1">
        <w:rPr>
          <w:rFonts w:ascii="Times New Roman" w:eastAsia="Times New Roman" w:hAnsi="Times New Roman" w:cs="Times New Roman"/>
          <w:sz w:val="24"/>
          <w:szCs w:val="24"/>
          <w:lang w:val="en-US"/>
        </w:rPr>
        <w:t xml:space="preserve">In the context of elderly people in Bangladesh, </w:t>
      </w:r>
      <w:r w:rsidRPr="00F96FC1">
        <w:rPr>
          <w:rFonts w:ascii="Times New Roman" w:eastAsia="Times New Roman" w:hAnsi="Times New Roman" w:cs="Times New Roman"/>
          <w:bCs/>
          <w:sz w:val="24"/>
          <w:szCs w:val="24"/>
          <w:lang w:val="en-US"/>
        </w:rPr>
        <w:t>Perceived Usefulness</w:t>
      </w:r>
      <w:r w:rsidRPr="00F96FC1">
        <w:rPr>
          <w:rFonts w:ascii="Times New Roman" w:eastAsia="Times New Roman" w:hAnsi="Times New Roman" w:cs="Times New Roman"/>
          <w:sz w:val="24"/>
          <w:szCs w:val="24"/>
          <w:lang w:val="en-US"/>
        </w:rPr>
        <w:t xml:space="preserve"> refers to how effectively </w:t>
      </w:r>
      <w:r w:rsidR="005D6E88">
        <w:rPr>
          <w:rFonts w:ascii="Times New Roman" w:eastAsia="Times New Roman" w:hAnsi="Times New Roman" w:cs="Times New Roman"/>
          <w:sz w:val="24"/>
          <w:szCs w:val="24"/>
          <w:lang w:val="en-US"/>
        </w:rPr>
        <w:t>Fintech</w:t>
      </w:r>
      <w:r w:rsidRPr="00F96FC1">
        <w:rPr>
          <w:rFonts w:ascii="Times New Roman" w:eastAsia="Times New Roman" w:hAnsi="Times New Roman" w:cs="Times New Roman"/>
          <w:sz w:val="24"/>
          <w:szCs w:val="24"/>
          <w:lang w:val="en-US"/>
        </w:rPr>
        <w:t xml:space="preserve"> services, such as mobile banking, digital wallets, and online payment platforms, help users perform financial activities</w:t>
      </w:r>
      <w:r w:rsidR="005D6E88">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&lt;EndNote&gt;&lt;Cite&gt;&lt;Author&gt;Hassan&lt;/Author&gt;&lt;Year&gt;2022&lt;/Year&gt;&lt;RecNum&gt;914&lt;/RecNum&gt;&lt;DisplayText&gt;(Hassan et al., 2022)&lt;/DisplayText&gt;&lt;record&gt;&lt;rec-number&gt;914&lt;/rec-number&gt;&lt;foreign-keys&gt;&lt;key app="EN" db-id="a2rsvzpeof2293e9sebptwz9ezdwezd52ax5" timestamp="1729257322"&gt;914&lt;/key&gt;&lt;/foreign-keys&gt;&lt;ref-type name="Electronic Article"&gt;43&lt;/ref-type&gt;&lt;contributors&gt;&lt;authors&gt;&lt;author&gt;Hassan, Md S.&lt;/author&gt;&lt;author&gt;Islam, Md A.&lt;/author&gt;&lt;author&gt;Sobhani, Farid A.&lt;/author&gt;&lt;author&gt;Nasir, Hussen&lt;/author&gt;&lt;author&gt;Mahmud, Imroz&lt;/author&gt;&lt;author&gt;Zahra, Fatema T.&lt;/author&gt;&lt;/authors&gt;&lt;/contributors&gt;&lt;titles&gt;&lt;title&gt;Drivers Influencing the Adoption Intention towards Mobile Fintech Services: A Study on the Emerging Bangladesh Market&lt;/title&gt;&lt;secondary-title&gt;Information&lt;/secondary-title&gt;&lt;/titles&gt;&lt;periodical&gt;&lt;full-title&gt;Information&lt;/full-title&gt;&lt;/periodical&gt;&lt;volume&gt;13&lt;/volume&gt;&lt;number&gt;7&lt;/number&gt;&lt;keywords&gt;&lt;keyword&gt;mobile fintech services (MFS)&lt;/keyword&gt;&lt;keyword&gt;perceived trust&lt;/keyword&gt;&lt;keyword&gt;social influence&lt;/keyword&gt;&lt;keyword&gt;facilitating conditions&lt;/keyword&gt;&lt;keyword&gt;perceived benefit&lt;/keyword&gt;&lt;/keywords&gt;&lt;dates&gt;&lt;year&gt;2022&lt;/year&gt;&lt;/dates&gt;&lt;isbn&gt;2078-2489&lt;/isbn&gt;&lt;urls&gt;&lt;/urls&gt;&lt;electronic-resource-num&gt;10.3390/info13070349&lt;/electronic-resource-num&gt;&lt;/record&gt;&lt;/Cite&gt;&lt;/EndNote&gt;</w:instrText>
      </w:r>
      <w:r w:rsidR="005D6E88">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(Hassan et al., 2022)</w:t>
      </w:r>
      <w:r w:rsidR="005D6E88">
        <w:rPr>
          <w:rFonts w:ascii="Times New Roman" w:eastAsia="Times New Roman" w:hAnsi="Times New Roman" w:cs="Times New Roman"/>
          <w:sz w:val="24"/>
          <w:szCs w:val="24"/>
          <w:lang w:val="en-US"/>
        </w:rPr>
        <w:fldChar w:fldCharType="end"/>
      </w:r>
      <w:r w:rsidRPr="00F96FC1">
        <w:rPr>
          <w:rFonts w:ascii="Times New Roman" w:eastAsia="Times New Roman" w:hAnsi="Times New Roman" w:cs="Times New Roman"/>
          <w:sz w:val="24"/>
          <w:szCs w:val="24"/>
          <w:lang w:val="en-US"/>
        </w:rPr>
        <w:t xml:space="preserve">. These activities include paying utility bills, transferring funds to family members, receiving pensions or remittances, and managing savings or investments. For elderly users, </w:t>
      </w:r>
      <w:r w:rsidR="005D6E88">
        <w:rPr>
          <w:rFonts w:ascii="Times New Roman" w:eastAsia="Times New Roman" w:hAnsi="Times New Roman" w:cs="Times New Roman"/>
          <w:sz w:val="24"/>
          <w:szCs w:val="24"/>
          <w:lang w:val="en-US"/>
        </w:rPr>
        <w:t>Fintech</w:t>
      </w:r>
      <w:r w:rsidRPr="00F96FC1">
        <w:rPr>
          <w:rFonts w:ascii="Times New Roman" w:eastAsia="Times New Roman" w:hAnsi="Times New Roman" w:cs="Times New Roman"/>
          <w:sz w:val="24"/>
          <w:szCs w:val="24"/>
          <w:lang w:val="en-US"/>
        </w:rPr>
        <w:t xml:space="preserve"> services are especially valuable because they reduce the need to visit a physical bank, which can be challenging due to mobi</w:t>
      </w:r>
      <w:r w:rsidR="005D6E88">
        <w:rPr>
          <w:rFonts w:ascii="Times New Roman" w:eastAsia="Times New Roman" w:hAnsi="Times New Roman" w:cs="Times New Roman"/>
          <w:sz w:val="24"/>
          <w:szCs w:val="24"/>
          <w:lang w:val="en-US"/>
        </w:rPr>
        <w:t xml:space="preserve">lity limitations </w:t>
      </w:r>
      <w:r w:rsidR="005D6E88">
        <w:rPr>
          <w:rFonts w:ascii="Times New Roman" w:eastAsia="Times New Roman" w:hAnsi="Times New Roman" w:cs="Times New Roman"/>
          <w:sz w:val="24"/>
          <w:szCs w:val="24"/>
          <w:lang w:val="en-US"/>
        </w:rPr>
        <w:fldChar w:fldCharType="begin">
          <w:fldData xml:space="preserve">PEVuZE5vdGU+PENpdGU+PEF1dGhvcj5IYXNzYW48L0F1dGhvcj48WWVhcj4yMDIyPC9ZZWFyPjxS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</w:fldData>
        </w:fldChar>
      </w:r>
      <w:r w:rsidR="00906036">
        <w:rPr>
          <w:rFonts w:ascii="Times New Roman" w:eastAsia="Times New Roman" w:hAnsi="Times New Roman" w:cs="Times New Roman"/>
          <w:sz w:val="24"/>
          <w:szCs w:val="24"/>
          <w:lang w:val="en-US"/>
        </w:rPr>
        <w:instrText xml:space="preserve"> ADDIN EN.CITE </w:instrText>
      </w:r>
      <w:r w:rsidR="00906036">
        <w:rPr>
          <w:rFonts w:ascii="Times New Roman" w:eastAsia="Times New Roman" w:hAnsi="Times New Roman" w:cs="Times New Roman"/>
          <w:sz w:val="24"/>
          <w:szCs w:val="24"/>
          <w:lang w:val="en-US"/>
        </w:rPr>
        <w:fldChar w:fldCharType="begin">
          <w:fldData xml:space="preserve">PEVuZE5vdGU+PENpdGU+PEF1dGhvcj5IYXNzYW48L0F1dGhvcj48WWVhcj4yMDIyPC9ZZWFyPjxS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</w:fldData>
        </w:fldChar>
      </w:r>
      <w:r w:rsidR="00906036">
        <w:rPr>
          <w:rFonts w:ascii="Times New Roman" w:eastAsia="Times New Roman" w:hAnsi="Times New Roman" w:cs="Times New Roman"/>
          <w:sz w:val="24"/>
          <w:szCs w:val="24"/>
          <w:lang w:val="en-US"/>
        </w:rPr>
        <w:instrText xml:space="preserve"> ADDIN EN.CITE.DATA </w:instrText>
      </w:r>
      <w:r w:rsidR="00906036">
        <w:rPr>
          <w:rFonts w:ascii="Times New Roman" w:eastAsia="Times New Roman" w:hAnsi="Times New Roman" w:cs="Times New Roman"/>
          <w:sz w:val="24"/>
          <w:szCs w:val="24"/>
          <w:lang w:val="en-US"/>
        </w:rPr>
      </w:r>
      <w:r w:rsidR="00906036">
        <w:rPr>
          <w:rFonts w:ascii="Times New Roman" w:eastAsia="Times New Roman" w:hAnsi="Times New Roman" w:cs="Times New Roman"/>
          <w:sz w:val="24"/>
          <w:szCs w:val="24"/>
          <w:lang w:val="en-US"/>
        </w:rPr>
        <w:fldChar w:fldCharType="end"/>
      </w:r>
      <w:r w:rsidR="005D6E88">
        <w:rPr>
          <w:rFonts w:ascii="Times New Roman" w:eastAsia="Times New Roman" w:hAnsi="Times New Roman" w:cs="Times New Roman"/>
          <w:sz w:val="24"/>
          <w:szCs w:val="24"/>
          <w:lang w:val="en-US"/>
        </w:rPr>
      </w:r>
      <w:r w:rsidR="005D6E88">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(Esmaeilpour Moghadam &amp; Karami, 2023; Hassan et al., 2022)</w:t>
      </w:r>
      <w:r w:rsidR="005D6E88">
        <w:rPr>
          <w:rFonts w:ascii="Times New Roman" w:eastAsia="Times New Roman" w:hAnsi="Times New Roman" w:cs="Times New Roman"/>
          <w:sz w:val="24"/>
          <w:szCs w:val="24"/>
          <w:lang w:val="en-US"/>
        </w:rPr>
        <w:fldChar w:fldCharType="end"/>
      </w:r>
      <w:r w:rsidRPr="00F96FC1">
        <w:rPr>
          <w:rFonts w:ascii="Times New Roman" w:eastAsia="Times New Roman" w:hAnsi="Times New Roman" w:cs="Times New Roman"/>
          <w:sz w:val="24"/>
          <w:szCs w:val="24"/>
          <w:lang w:val="en-US"/>
        </w:rPr>
        <w:t xml:space="preserve">. By enabling elderly individuals to manage their finances from home, </w:t>
      </w:r>
      <w:r w:rsidR="005D6E88">
        <w:rPr>
          <w:rFonts w:ascii="Times New Roman" w:eastAsia="Times New Roman" w:hAnsi="Times New Roman" w:cs="Times New Roman"/>
          <w:sz w:val="24"/>
          <w:szCs w:val="24"/>
          <w:lang w:val="en-US"/>
        </w:rPr>
        <w:t>Fintech</w:t>
      </w:r>
      <w:r w:rsidRPr="00F96FC1">
        <w:rPr>
          <w:rFonts w:ascii="Times New Roman" w:eastAsia="Times New Roman" w:hAnsi="Times New Roman" w:cs="Times New Roman"/>
          <w:sz w:val="24"/>
          <w:szCs w:val="24"/>
          <w:lang w:val="en-US"/>
        </w:rPr>
        <w:t xml:space="preserve"> enhances their financial independence and reduces their reliance on others for assistance</w:t>
      </w:r>
      <w:r w:rsidR="002033A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&lt;EndNote&gt;&lt;Cite&gt;&lt;Author&gt;Hoque&lt;/Author&gt;&lt;Year&gt;2017&lt;/Year&gt;&lt;RecNum&gt;917&lt;/RecNum&gt;&lt;DisplayText&gt;(Hoque &amp;amp; Sorwar, 2017)&lt;/DisplayText&gt;&lt;record&gt;&lt;rec-number&gt;917&lt;/rec-number&gt;&lt;foreign-keys&gt;&lt;key app="EN" db-id="a2rsvzpeof2293e9sebptwz9ezdwezd52ax5" timestamp="1729257899"&gt;917&lt;/key&gt;&lt;/foreign-keys&gt;&lt;ref-type name="Journal Article"&gt;17&lt;/ref-type&gt;&lt;contributors&gt;&lt;authors&gt;&lt;author&gt;Hoque, Rakibul&lt;/author&gt;&lt;author&gt;Sorwar, Golam&lt;/author&gt;&lt;/authors&gt;&lt;/contributors&gt;&lt;titles&gt;&lt;title&gt;Understanding factors influencing the adoption of mHealth by the elderly: An extension of the UTAUT model&lt;/title&gt;&lt;secondary-title&gt;International Journal of Medical Informatics&lt;/secondary-title&gt;&lt;/titles&gt;&lt;periodical&gt;&lt;full-title&gt;International Journal of Medical Informatics&lt;/full-title&gt;&lt;/periodical&gt;&lt;pages&gt;75-84&lt;/pages&gt;&lt;volume&gt;101&lt;/volume&gt;&lt;keywords&gt;&lt;keyword&gt;mHealth&lt;/keyword&gt;&lt;keyword&gt;Elderly&lt;/keyword&gt;&lt;keyword&gt;UTAUT&lt;/keyword&gt;&lt;keyword&gt;Developing country&lt;/keyword&gt;&lt;/keywords&gt;&lt;dates&gt;&lt;year&gt;2017&lt;/year&gt;&lt;pub-dates&gt;&lt;date&gt;2017/05/01/&lt;/date&gt;&lt;/pub-dates&gt;&lt;/dates&gt;&lt;isbn&gt;1386-5056&lt;/isbn&gt;&lt;urls&gt;&lt;related-urls&gt;&lt;url&gt;https://www.sciencedirect.com/science/article/pii/S1386505617300333&lt;/url&gt;&lt;/related-urls&gt;&lt;/urls&gt;&lt;electronic-resource-num&gt;https://doi.org/10.1016/j.ijmedinf.2017.02.002&lt;/electronic-resource-num&gt;&lt;/record&gt;&lt;/Cite&gt;&lt;/EndNote&gt;</w:instrText>
      </w:r>
      <w:r w:rsidR="002033A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(Hoque &amp; Sorwar, 2017)</w:t>
      </w:r>
      <w:r w:rsidR="002033AD">
        <w:rPr>
          <w:rFonts w:ascii="Times New Roman" w:eastAsia="Times New Roman" w:hAnsi="Times New Roman" w:cs="Times New Roman"/>
          <w:sz w:val="24"/>
          <w:szCs w:val="24"/>
          <w:lang w:val="en-US"/>
        </w:rPr>
        <w:fldChar w:fldCharType="end"/>
      </w:r>
      <w:r w:rsidRPr="00F96FC1">
        <w:rPr>
          <w:rFonts w:ascii="Times New Roman" w:eastAsia="Times New Roman" w:hAnsi="Times New Roman" w:cs="Times New Roman"/>
          <w:sz w:val="24"/>
          <w:szCs w:val="24"/>
          <w:lang w:val="en-US"/>
        </w:rPr>
        <w:t>.</w:t>
      </w:r>
    </w:p>
    <w:p w:rsidR="004649E1" w:rsidRPr="004649E1" w:rsidRDefault="004649E1" w:rsidP="00D16D0F">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4649E1">
        <w:rPr>
          <w:rFonts w:ascii="Times New Roman" w:eastAsia="Times New Roman" w:hAnsi="Times New Roman" w:cs="Times New Roman"/>
          <w:sz w:val="24"/>
          <w:szCs w:val="24"/>
          <w:lang w:val="en-US"/>
        </w:rPr>
        <w:t xml:space="preserve">According to TAM, when users perceive that a technology improves their performance and simplifies daily tasks, they are more likely to develop positive attitudes toward that technology, leading to higher satisfaction </w:t>
      </w:r>
      <w:r w:rsidR="002033A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&lt;EndNote&gt;&lt;Cite&gt;&lt;Author&gt;Yadegaridehkordi&lt;/Author&gt;&lt;Year&gt;2019&lt;/Year&gt;&lt;RecNum&gt;918&lt;/RecNum&gt;&lt;DisplayText&gt;(Yadegaridehkordi, Shuib, Nilashi, &amp;amp; Asadi, 2019)&lt;/DisplayText&gt;&lt;record&gt;&lt;rec-number&gt;918&lt;/rec-number&gt;&lt;foreign-keys&gt;&lt;key app="EN" db-id="a2rsvzpeof2293e9sebptwz9ezdwezd52ax5" timestamp="1729258001"&gt;918&lt;/key&gt;&lt;/foreign-keys&gt;&lt;ref-type name="Journal Article"&gt;17&lt;/ref-type&gt;&lt;contributors&gt;&lt;authors&gt;&lt;author&gt;Yadegaridehkordi, Elaheh&lt;/author&gt;&lt;author&gt;Shuib, Liyana&lt;/author&gt;&lt;author&gt;Nilashi, Mehrbakhsh&lt;/author&gt;&lt;author&gt;Asadi, Shahla&lt;/author&gt;&lt;/authors&gt;&lt;/contributors&gt;&lt;titles&gt;&lt;title&gt;Decision to adopt online collaborative learning tools in higher education: A case of top Malaysian universities&lt;/title&gt;&lt;secondary-title&gt;Education and Information Technologies&lt;/secondary-title&gt;&lt;/titles&gt;&lt;periodical&gt;&lt;full-title&gt;Education and Information Technologies&lt;/full-title&gt;&lt;/periodical&gt;&lt;pages&gt;79-102&lt;/pages&gt;&lt;volume&gt;24&lt;/volume&gt;&lt;number&gt;1&lt;/number&gt;&lt;dates&gt;&lt;year&gt;2019&lt;/year&gt;&lt;pub-dates&gt;&lt;date&gt;2019/01/01&lt;/date&gt;&lt;/pub-dates&gt;&lt;/dates&gt;&lt;isbn&gt;1573-7608&lt;/isbn&gt;&lt;urls&gt;&lt;related-urls&gt;&lt;url&gt;https://doi.org/10.1007/s10639-018-9761-z&lt;/url&gt;&lt;/related-urls&gt;&lt;/urls&gt;&lt;electronic-resource-num&gt;10.1007/s10639-018-9761-z&lt;/electronic-resource-num&gt;&lt;/record&gt;&lt;/Cite&gt;&lt;/EndNote&gt;</w:instrText>
      </w:r>
      <w:r w:rsidR="002033A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(Yadegaridehkordi, Shuib, Nilashi, &amp; Asadi, 2019)</w:t>
      </w:r>
      <w:r w:rsidR="002033AD">
        <w:rPr>
          <w:rFonts w:ascii="Times New Roman" w:eastAsia="Times New Roman" w:hAnsi="Times New Roman" w:cs="Times New Roman"/>
          <w:sz w:val="24"/>
          <w:szCs w:val="24"/>
          <w:lang w:val="en-US"/>
        </w:rPr>
        <w:fldChar w:fldCharType="end"/>
      </w:r>
      <w:r w:rsidRPr="004649E1">
        <w:rPr>
          <w:rFonts w:ascii="Times New Roman" w:eastAsia="Times New Roman" w:hAnsi="Times New Roman" w:cs="Times New Roman"/>
          <w:sz w:val="24"/>
          <w:szCs w:val="24"/>
          <w:lang w:val="en-US"/>
        </w:rPr>
        <w:t xml:space="preserve">. For elderly users in Bangladesh, the perception that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services save time, reduce effort, and increase financial independence is crucial. For instance,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platforms that allow elderly users to pay bills or transfer money without leaving their homes are viewed as highly useful. This sense of convenience strengthens their satisfaction with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services, as these services address their specific needs</w:t>
      </w:r>
      <w:r w:rsidR="002033AD">
        <w:rPr>
          <w:rFonts w:ascii="Times New Roman" w:eastAsia="Times New Roman" w:hAnsi="Times New Roman" w:cs="Times New Roman"/>
          <w:sz w:val="24"/>
          <w:szCs w:val="24"/>
          <w:lang w:val="en-US"/>
        </w:rPr>
        <w:t xml:space="preserve"> </w:t>
      </w:r>
      <w:r w:rsidR="002033A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&lt;EndNote&gt;&lt;Cite&gt;&lt;Author&gt;Karim&lt;/Author&gt;&lt;Year&gt;2022&lt;/Year&gt;&lt;RecNum&gt;919&lt;/RecNum&gt;&lt;DisplayText&gt;(Karim et al., 2022)&lt;/DisplayText&gt;&lt;record&gt;&lt;rec-number&gt;919&lt;/rec-number&gt;&lt;foreign-keys&gt;&lt;key app="EN" db-id="a2rsvzpeof2293e9sebptwz9ezdwezd52ax5" timestamp="1729258455"&gt;919&lt;/key&gt;&lt;/foreign-keys&gt;&lt;ref-type name="Electronic Article"&gt;43&lt;/ref-type&gt;&lt;contributors&gt;&lt;authors&gt;&lt;author&gt;Karim, Rashed A.&lt;/author&gt;&lt;author&gt;Sobhani, Farid A.&lt;/author&gt;&lt;author&gt;Rabiul, Md K.&lt;/author&gt;&lt;author&gt;Lepee, Nusrat J.&lt;/author&gt;&lt;author&gt;Kabir, Mohammad R.&lt;/author&gt;&lt;author&gt;Chowdhury, Mohammad A.&lt;/author&gt;&lt;/authors&gt;&lt;/contributors&gt;&lt;titles&gt;&lt;title&gt;Linking Fintech Payment Services and Customer Loyalty Intention in the Hospitality Industry: The Mediating Role of Customer Experience and Attitude&lt;/title&gt;&lt;secondary-title&gt;Sustainability&lt;/secondary-title&gt;&lt;/titles&gt;&lt;periodical&gt;&lt;full-title&gt;Sustainability&lt;/full-title&gt;&lt;/periodical&gt;&lt;volume&gt;14&lt;/volume&gt;&lt;number&gt;24&lt;/number&gt;&lt;keywords&gt;&lt;keyword&gt;fintech services&lt;/keyword&gt;&lt;keyword&gt;customer experience&lt;/keyword&gt;&lt;keyword&gt;customer attitude&lt;/keyword&gt;&lt;keyword&gt;customer-loyalty intention&lt;/keyword&gt;&lt;keyword&gt;hospitality industry&lt;/keyword&gt;&lt;/keywords&gt;&lt;dates&gt;&lt;year&gt;2022&lt;/year&gt;&lt;/dates&gt;&lt;isbn&gt;2071-1050&lt;/isbn&gt;&lt;urls&gt;&lt;/urls&gt;&lt;electronic-resource-num&gt;10.3390/su142416481&lt;/electronic-resource-num&gt;&lt;/record&gt;&lt;/Cite&gt;&lt;/EndNote&gt;</w:instrText>
      </w:r>
      <w:r w:rsidR="002033A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(Karim et al., 2022)</w:t>
      </w:r>
      <w:r w:rsidR="002033AD">
        <w:rPr>
          <w:rFonts w:ascii="Times New Roman" w:eastAsia="Times New Roman" w:hAnsi="Times New Roman" w:cs="Times New Roman"/>
          <w:sz w:val="24"/>
          <w:szCs w:val="24"/>
          <w:lang w:val="en-US"/>
        </w:rPr>
        <w:fldChar w:fldCharType="end"/>
      </w:r>
      <w:r w:rsidRPr="004649E1">
        <w:rPr>
          <w:rFonts w:ascii="Times New Roman" w:eastAsia="Times New Roman" w:hAnsi="Times New Roman" w:cs="Times New Roman"/>
          <w:sz w:val="24"/>
          <w:szCs w:val="24"/>
          <w:lang w:val="en-US"/>
        </w:rPr>
        <w:t>.</w:t>
      </w:r>
      <w:r w:rsidR="004F0268">
        <w:rPr>
          <w:rFonts w:ascii="Times New Roman" w:eastAsia="Times New Roman" w:hAnsi="Times New Roman" w:cs="Times New Roman"/>
          <w:sz w:val="24"/>
          <w:szCs w:val="24"/>
          <w:lang w:val="en-US"/>
        </w:rPr>
        <w:t xml:space="preserve"> </w:t>
      </w:r>
      <w:r w:rsidRPr="004649E1">
        <w:rPr>
          <w:rFonts w:ascii="Times New Roman" w:eastAsia="Times New Roman" w:hAnsi="Times New Roman" w:cs="Times New Roman"/>
          <w:sz w:val="24"/>
          <w:szCs w:val="24"/>
          <w:lang w:val="en-US"/>
        </w:rPr>
        <w:t xml:space="preserve">Moreover,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services that offer features tailored to the un</w:t>
      </w:r>
      <w:r w:rsidR="009924EE">
        <w:rPr>
          <w:rFonts w:ascii="Times New Roman" w:eastAsia="Times New Roman" w:hAnsi="Times New Roman" w:cs="Times New Roman"/>
          <w:sz w:val="24"/>
          <w:szCs w:val="24"/>
          <w:lang w:val="en-US"/>
        </w:rPr>
        <w:t xml:space="preserve">ique needs of elderly users </w:t>
      </w:r>
      <w:r w:rsidRPr="004649E1">
        <w:rPr>
          <w:rFonts w:ascii="Times New Roman" w:eastAsia="Times New Roman" w:hAnsi="Times New Roman" w:cs="Times New Roman"/>
          <w:sz w:val="24"/>
          <w:szCs w:val="24"/>
          <w:lang w:val="en-US"/>
        </w:rPr>
        <w:t xml:space="preserve">such as user-friendly interfaces, minimal physical interaction, and language support </w:t>
      </w:r>
      <w:r w:rsidR="009924EE">
        <w:rPr>
          <w:rFonts w:ascii="Times New Roman" w:eastAsia="Times New Roman" w:hAnsi="Times New Roman" w:cs="Times New Roman"/>
          <w:sz w:val="24"/>
          <w:szCs w:val="24"/>
          <w:lang w:val="en-US"/>
        </w:rPr>
        <w:t xml:space="preserve">in Bengali or regional dialects </w:t>
      </w:r>
      <w:r w:rsidRPr="004649E1">
        <w:rPr>
          <w:rFonts w:ascii="Times New Roman" w:eastAsia="Times New Roman" w:hAnsi="Times New Roman" w:cs="Times New Roman"/>
          <w:sz w:val="24"/>
          <w:szCs w:val="24"/>
          <w:lang w:val="en-US"/>
        </w:rPr>
        <w:t xml:space="preserve">further increase perceived usefulness. This heightened perception of usefulness directly leads to higher satisfaction levels, as elderly users recognize the tangible benefits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offers in managing their finances more efficiently and independently. In turn, this improved perception of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services enhances user satisfaction, creating a positive feedback loop</w:t>
      </w:r>
      <w:r w:rsidR="009924EE">
        <w:rPr>
          <w:rFonts w:ascii="Times New Roman" w:eastAsia="Times New Roman" w:hAnsi="Times New Roman" w:cs="Times New Roman"/>
          <w:sz w:val="24"/>
          <w:szCs w:val="24"/>
          <w:lang w:val="en-US"/>
        </w:rPr>
        <w:t xml:space="preserve"> </w:t>
      </w:r>
      <w:r w:rsidR="009924EE">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&lt;EndNote&gt;&lt;Cite&gt;&lt;Author&gt;Suryono&lt;/Author&gt;&lt;Year&gt;2020&lt;/Year&gt;&lt;RecNum&gt;920&lt;/RecNum&gt;&lt;DisplayText&gt;(Suryono, Budi, &amp;amp; Purwandari, 2020)&lt;/DisplayText&gt;&lt;record&gt;&lt;rec-number&gt;920&lt;/rec-number&gt;&lt;foreign-keys&gt;&lt;key app="EN" db-id="a2rsvzpeof2293e9sebptwz9ezdwezd52ax5" timestamp="1729258968"&gt;920&lt;/key&gt;&lt;/foreign-keys&gt;&lt;ref-type name="Electronic Article"&gt;43&lt;/ref-type&gt;&lt;contributors&gt;&lt;authors&gt;&lt;author&gt;Suryono, Ryan R.&lt;/author&gt;&lt;author&gt;Budi, Indra&lt;/author&gt;&lt;author&gt;Purwandari, Betty&lt;/author&gt;&lt;/authors&gt;&lt;/contributors&gt;&lt;titles&gt;&lt;title&gt;Challenges and Trends of Financial Technology (Fintech): A Systematic Literature Review&lt;/title&gt;&lt;secondary-title&gt;Information&lt;/secondary-title&gt;&lt;/titles&gt;&lt;periodical&gt;&lt;full-title&gt;Information&lt;/full-title&gt;&lt;/periodical&gt;&lt;volume&gt;11&lt;/volume&gt;&lt;number&gt;12&lt;/number&gt;&lt;keywords&gt;&lt;keyword&gt;financial technology&lt;/keyword&gt;&lt;keyword&gt;fintech&lt;/keyword&gt;&lt;keyword&gt;systematic literature review&lt;/keyword&gt;&lt;keyword&gt;thematic analysis&lt;/keyword&gt;&lt;keyword&gt;meta-analysis&lt;/keyword&gt;&lt;/keywords&gt;&lt;dates&gt;&lt;year&gt;2020&lt;/year&gt;&lt;/dates&gt;&lt;isbn&gt;2078-2489&lt;/isbn&gt;&lt;urls&gt;&lt;/urls&gt;&lt;electronic-resource-num&gt;10.3390/info11120590&lt;/electronic-resource-num&gt;&lt;/record&gt;&lt;/Cite&gt;&lt;/EndNote&gt;</w:instrText>
      </w:r>
      <w:r w:rsidR="009924EE">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(Suryono, Budi, &amp; Purwandari, 2020)</w:t>
      </w:r>
      <w:r w:rsidR="009924EE">
        <w:rPr>
          <w:rFonts w:ascii="Times New Roman" w:eastAsia="Times New Roman" w:hAnsi="Times New Roman" w:cs="Times New Roman"/>
          <w:sz w:val="24"/>
          <w:szCs w:val="24"/>
          <w:lang w:val="en-US"/>
        </w:rPr>
        <w:fldChar w:fldCharType="end"/>
      </w:r>
      <w:r w:rsidRPr="004649E1">
        <w:rPr>
          <w:rFonts w:ascii="Times New Roman" w:eastAsia="Times New Roman" w:hAnsi="Times New Roman" w:cs="Times New Roman"/>
          <w:sz w:val="24"/>
          <w:szCs w:val="24"/>
          <w:lang w:val="en-US"/>
        </w:rPr>
        <w:t>.</w:t>
      </w:r>
    </w:p>
    <w:p w:rsidR="004649E1" w:rsidRPr="004649E1" w:rsidRDefault="004649E1" w:rsidP="004F0268">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4649E1">
        <w:rPr>
          <w:rFonts w:ascii="Times New Roman" w:eastAsia="Times New Roman" w:hAnsi="Times New Roman" w:cs="Times New Roman"/>
          <w:sz w:val="24"/>
          <w:szCs w:val="24"/>
          <w:lang w:val="en-US"/>
        </w:rPr>
        <w:t xml:space="preserve">While </w:t>
      </w:r>
      <w:r w:rsidRPr="004F6518">
        <w:rPr>
          <w:rFonts w:ascii="Times New Roman" w:eastAsia="Times New Roman" w:hAnsi="Times New Roman" w:cs="Times New Roman"/>
          <w:bCs/>
          <w:sz w:val="24"/>
          <w:szCs w:val="24"/>
          <w:lang w:val="en-US"/>
        </w:rPr>
        <w:t>Perceived Ease of Use (PEU)</w:t>
      </w:r>
      <w:r w:rsidRPr="004649E1">
        <w:rPr>
          <w:rFonts w:ascii="Times New Roman" w:eastAsia="Times New Roman" w:hAnsi="Times New Roman" w:cs="Times New Roman"/>
          <w:sz w:val="24"/>
          <w:szCs w:val="24"/>
          <w:lang w:val="en-US"/>
        </w:rPr>
        <w:t xml:space="preserve"> is not the primary focus of this hypothesis, it indirectly influences PU. According to TAM, a technology that is easy to use is more likely to be perceived as useful. For elderly users in Bangladesh, who may have limited exposure to digital tools, the ease of use of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services is critical </w:t>
      </w:r>
      <w:r w:rsidR="00F445B4">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&lt;EndNote&gt;&lt;Cite&gt;&lt;Author&gt;Dwivedi&lt;/Author&gt;&lt;Year&gt;2022&lt;/Year&gt;&lt;RecNum&gt;921&lt;/RecNum&gt;&lt;DisplayText&gt;(Dwivedi, Alrasheedi, Dwivedi, &amp;amp; Starešinić, 2022)&lt;/DisplayText&gt;&lt;record&gt;&lt;rec-number&gt;921&lt;/rec-number&gt;&lt;foreign-keys&gt;&lt;key app="EN" db-id="a2rsvzpeof2293e9sebptwz9ezdwezd52ax5" timestamp="1729260034"&gt;921&lt;/key&gt;&lt;/foreign-keys&gt;&lt;ref-type name="Journal Article"&gt;17&lt;/ref-type&gt;&lt;contributors&gt;&lt;authors&gt;&lt;author&gt;Dwivedi, Rajeev&lt;/author&gt;&lt;author&gt;Alrasheedi, Melfi&lt;/author&gt;&lt;author&gt;Dwivedi, Pradeep&lt;/author&gt;&lt;author&gt;Starešinić, Berislava&lt;/author&gt;&lt;/authors&gt;&lt;/contributors&gt;&lt;titles&gt;&lt;title&gt;Leveraging Financial Inclusion Through Technology-Enabled Services Innovation: A Case of Economic Development in India&lt;/title&gt;&lt;secondary-title&gt;International Journal of E-Services and Mobile Applications (IJESMA)&lt;/secondary-title&gt;&lt;/titles&gt;&lt;periodical&gt;&lt;full-title&gt;International Journal of E-Services and Mobile Applications (IJESMA)&lt;/full-title&gt;&lt;/periodical&gt;&lt;pages&gt;1-13&lt;/pages&gt;&lt;volume&gt;14&lt;/volume&gt;&lt;number&gt;1&lt;/number&gt;&lt;dates&gt;&lt;year&gt;2022&lt;/year&gt;&lt;/dates&gt;&lt;pub-location&gt;Hershey, PA, USA&lt;/pub-location&gt;&lt;publisher&gt;IGI Global&lt;/publisher&gt;&lt;isbn&gt;1941-627X&lt;/isbn&gt;&lt;urls&gt;&lt;related-urls&gt;&lt;url&gt;https://services.igi-global.com/resolvedoi/resolve.aspx?doi=10.4018/IJESMA.289633&lt;/url&gt;&lt;/related-urls&gt;&lt;/urls&gt;&lt;electronic-resource-num&gt;10.4018/IJESMA.289633&lt;/electronic-resource-num&gt;&lt;/record&gt;&lt;/Cite&gt;&lt;/EndNote&gt;</w:instrText>
      </w:r>
      <w:r w:rsidR="00F445B4">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(Dwivedi, Alrasheedi, Dwivedi, &amp; Starešinić, 2022)</w:t>
      </w:r>
      <w:r w:rsidR="00F445B4">
        <w:rPr>
          <w:rFonts w:ascii="Times New Roman" w:eastAsia="Times New Roman" w:hAnsi="Times New Roman" w:cs="Times New Roman"/>
          <w:sz w:val="24"/>
          <w:szCs w:val="24"/>
          <w:lang w:val="en-US"/>
        </w:rPr>
        <w:fldChar w:fldCharType="end"/>
      </w:r>
      <w:r w:rsidRPr="004649E1">
        <w:rPr>
          <w:rFonts w:ascii="Times New Roman" w:eastAsia="Times New Roman" w:hAnsi="Times New Roman" w:cs="Times New Roman"/>
          <w:sz w:val="24"/>
          <w:szCs w:val="24"/>
          <w:lang w:val="en-US"/>
        </w:rPr>
        <w:t xml:space="preserve">. If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platforms are intuitive, with simple navigation, clear instructions, and minimal technical requirements, elderly users will find them easier to adopt, which further enhances their perception of usefulness</w:t>
      </w:r>
      <w:r w:rsidR="00A00E19">
        <w:rPr>
          <w:rFonts w:ascii="Times New Roman" w:eastAsia="Times New Roman" w:hAnsi="Times New Roman" w:cs="Times New Roman"/>
          <w:sz w:val="24"/>
          <w:szCs w:val="24"/>
          <w:lang w:val="en-US"/>
        </w:rPr>
        <w:t xml:space="preserve"> </w:t>
      </w:r>
      <w:r w:rsidR="00A00E19">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&lt;EndNote&gt;&lt;Cite&gt;&lt;Author&gt;Flavián&lt;/Author&gt;&lt;Year&gt;2022&lt;/Year&gt;&lt;RecNum&gt;922&lt;/RecNum&gt;&lt;DisplayText&gt;(Flavián, Pérez-Rueda, Belanche, &amp;amp; Casaló, 2022)&lt;/DisplayText&gt;&lt;record&gt;&lt;rec-number&gt;922&lt;/rec-number&gt;&lt;foreign-keys&gt;&lt;key app="EN" db-id="a2rsvzpeof2293e9sebptwz9ezdwezd52ax5" timestamp="1729263041"&gt;922&lt;/key&gt;&lt;/foreign-keys&gt;&lt;ref-type name="Journal Article"&gt;17&lt;/ref-type&gt;&lt;contributors&gt;&lt;authors&gt;&lt;author&gt;Flavián, Carlos&lt;/author&gt;&lt;author&gt;Pérez-Rueda, Alfredo&lt;/author&gt;&lt;author&gt;Belanche, Daniel&lt;/author&gt;&lt;author&gt;Casaló, Luis V.&lt;/author&gt;&lt;/authors&gt;&lt;/contributors&gt;&lt;titles&gt;&lt;title&gt;Intention to use analytical artificial intelligence (AI) in services – the effect of technology readiness and awareness&lt;/title&gt;&lt;secondary-title&gt;Journal of Service Management&lt;/secondary-title&gt;&lt;/titles&gt;&lt;periodical&gt;&lt;full-title&gt;Journal of Service Management&lt;/full-title&gt;&lt;/periodical&gt;&lt;pages&gt;293-320&lt;/pages&gt;&lt;volume&gt;33&lt;/volume&gt;&lt;number&gt;2&lt;/number&gt;&lt;dates&gt;&lt;year&gt;2022&lt;/year&gt;&lt;/dates&gt;&lt;publisher&gt;Emerald Publishing Limited&lt;/publisher&gt;&lt;isbn&gt;1757-5818&lt;/isbn&gt;&lt;urls&gt;&lt;related-urls&gt;&lt;url&gt;https://doi.org/10.1108/JOSM-10-2020-0378&lt;/url&gt;&lt;/related-urls&gt;&lt;/urls&gt;&lt;electronic-resource-num&gt;10.1108/JOSM-10-2020-0378&lt;/electronic-resource-num&gt;&lt;access-date&gt;2024/10/18&lt;/access-date&gt;&lt;/record&gt;&lt;/Cite&gt;&lt;/EndNote&gt;</w:instrText>
      </w:r>
      <w:r w:rsidR="00A00E19">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(Flavián, Pérez-Rueda, Belanche, &amp; Casaló, 2022)</w:t>
      </w:r>
      <w:r w:rsidR="00A00E19">
        <w:rPr>
          <w:rFonts w:ascii="Times New Roman" w:eastAsia="Times New Roman" w:hAnsi="Times New Roman" w:cs="Times New Roman"/>
          <w:sz w:val="24"/>
          <w:szCs w:val="24"/>
          <w:lang w:val="en-US"/>
        </w:rPr>
        <w:fldChar w:fldCharType="end"/>
      </w:r>
      <w:r w:rsidRPr="004649E1">
        <w:rPr>
          <w:rFonts w:ascii="Times New Roman" w:eastAsia="Times New Roman" w:hAnsi="Times New Roman" w:cs="Times New Roman"/>
          <w:sz w:val="24"/>
          <w:szCs w:val="24"/>
          <w:lang w:val="en-US"/>
        </w:rPr>
        <w:t xml:space="preserve">. For example,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platforms offering simple, one-click bill payments or easy fund transfers will be perceived as both easy to use and highly useful, leading to greater satisfaction among elderly users.</w:t>
      </w:r>
      <w:r w:rsidR="004F0268">
        <w:rPr>
          <w:rFonts w:ascii="Times New Roman" w:eastAsia="Times New Roman" w:hAnsi="Times New Roman" w:cs="Times New Roman"/>
          <w:sz w:val="24"/>
          <w:szCs w:val="24"/>
          <w:lang w:val="en-US"/>
        </w:rPr>
        <w:t xml:space="preserve"> </w:t>
      </w:r>
      <w:r w:rsidRPr="004649E1">
        <w:rPr>
          <w:rFonts w:ascii="Times New Roman" w:eastAsia="Times New Roman" w:hAnsi="Times New Roman" w:cs="Times New Roman"/>
          <w:sz w:val="24"/>
          <w:szCs w:val="24"/>
          <w:lang w:val="en-US"/>
        </w:rPr>
        <w:t xml:space="preserve">For elderly people in Bangladesh,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services that provide convenience, independence, and security enhance the perceived usefulness of these platforms. As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becomes more accessible and user-friendly, elderly users will increasingly recognize its value, leading to higher levels of satisfaction. The direct relationship between PU and satisfaction highlights the importance of designing </w:t>
      </w:r>
      <w:r w:rsidR="005D6E88">
        <w:rPr>
          <w:rFonts w:ascii="Times New Roman" w:eastAsia="Times New Roman" w:hAnsi="Times New Roman" w:cs="Times New Roman"/>
          <w:sz w:val="24"/>
          <w:szCs w:val="24"/>
          <w:lang w:val="en-US"/>
        </w:rPr>
        <w:t>Fintech</w:t>
      </w:r>
      <w:r w:rsidRPr="004649E1">
        <w:rPr>
          <w:rFonts w:ascii="Times New Roman" w:eastAsia="Times New Roman" w:hAnsi="Times New Roman" w:cs="Times New Roman"/>
          <w:sz w:val="24"/>
          <w:szCs w:val="24"/>
          <w:lang w:val="en-US"/>
        </w:rPr>
        <w:t xml:space="preserve"> platforms that address the specific challenges and preferences of elderly users, ensuring they can manage their financial activities with ease and confidence </w:t>
      </w:r>
      <w:r w:rsidR="00A00E19">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&lt;EndNote&gt;&lt;Cite&gt;&lt;Author&gt;Jeyaraj&lt;/Author&gt;&lt;Year&gt;2023&lt;/Year&gt;&lt;RecNum&gt;923&lt;/RecNum&gt;&lt;DisplayText&gt;(Jeyaraj, Dwivedi, &amp;amp; Venkatesh, 2023)&lt;/DisplayText&gt;&lt;record&gt;&lt;rec-number&gt;923&lt;/rec-number&gt;&lt;foreign-keys&gt;&lt;key app="EN" db-id="a2rsvzpeof2293e9sebptwz9ezdwezd52ax5" timestamp="1729263139"&gt;923&lt;/key&gt;&lt;/foreign-keys&gt;&lt;ref-type name="Journal Article"&gt;17&lt;/ref-type&gt;&lt;contributors&gt;&lt;authors&gt;&lt;author&gt;Jeyaraj, Anand&lt;/author&gt;&lt;author&gt;Dwivedi, Yogesh K.&lt;/author&gt;&lt;author&gt;Venkatesh, Viswanath&lt;/author&gt;&lt;/authors&gt;&lt;/contributors&gt;&lt;titles&gt;&lt;title&gt;Intention in information systems adoption and use: Current state and research directions&lt;/title&gt;&lt;secondary-title&gt;International Journal of Information Management&lt;/secondary-title&gt;&lt;/titles&gt;&lt;periodical&gt;&lt;full-title&gt;International Journal of Information Management&lt;/full-title&gt;&lt;/periodical&gt;&lt;pages&gt;102680&lt;/pages&gt;&lt;volume&gt;73&lt;/volume&gt;&lt;keywords&gt;&lt;keyword&gt;Information systems&lt;/keyword&gt;&lt;keyword&gt;Intention to adopt&lt;/keyword&gt;&lt;keyword&gt;Intention to use&lt;/keyword&gt;&lt;keyword&gt;Intention to continue use&lt;/keyword&gt;&lt;keyword&gt;Intention to discontinue&lt;/keyword&gt;&lt;keyword&gt;Intention to readopt&lt;/keyword&gt;&lt;keyword&gt;Intention to switch&lt;/keyword&gt;&lt;keyword&gt;Intention to upgrade&lt;/keyword&gt;&lt;/keywords&gt;&lt;dates&gt;&lt;year&gt;2023&lt;/year&gt;&lt;pub-dates&gt;&lt;date&gt;2023/12/01/&lt;/date&gt;&lt;/pub-dates&gt;&lt;/dates&gt;&lt;isbn&gt;0268-4012&lt;/isbn&gt;&lt;urls&gt;&lt;related-urls&gt;&lt;url&gt;https://www.sciencedirect.com/science/article/pii/S0268401223000610&lt;/url&gt;&lt;/related-urls&gt;&lt;/urls&gt;&lt;electronic-resource-num&gt;https://doi.org/10.1016/j.ijinfomgt.2023.102680&lt;/electronic-resource-num&gt;&lt;/record&gt;&lt;/Cite&gt;&lt;/EndNote&gt;</w:instrText>
      </w:r>
      <w:r w:rsidR="00A00E19">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(Jeyaraj, Dwivedi, &amp; Venkatesh, 2023)</w:t>
      </w:r>
      <w:r w:rsidR="00A00E19">
        <w:rPr>
          <w:rFonts w:ascii="Times New Roman" w:eastAsia="Times New Roman" w:hAnsi="Times New Roman" w:cs="Times New Roman"/>
          <w:sz w:val="24"/>
          <w:szCs w:val="24"/>
          <w:lang w:val="en-US"/>
        </w:rPr>
        <w:fldChar w:fldCharType="end"/>
      </w:r>
      <w:r w:rsidRPr="004649E1">
        <w:rPr>
          <w:rFonts w:ascii="Times New Roman" w:eastAsia="Times New Roman" w:hAnsi="Times New Roman" w:cs="Times New Roman"/>
          <w:sz w:val="24"/>
          <w:szCs w:val="24"/>
          <w:lang w:val="en-US"/>
        </w:rPr>
        <w:t>.</w:t>
      </w:r>
    </w:p>
    <w:p w:rsidR="004649E1" w:rsidRPr="004F0268" w:rsidRDefault="004649E1" w:rsidP="004F0268">
      <w:pPr>
        <w:spacing w:before="100" w:beforeAutospacing="1" w:after="100" w:afterAutospacing="1" w:line="360" w:lineRule="auto"/>
        <w:jc w:val="both"/>
        <w:rPr>
          <w:rFonts w:ascii="Times New Roman" w:eastAsia="Times New Roman" w:hAnsi="Times New Roman" w:cs="Times New Roman"/>
          <w:i/>
          <w:sz w:val="24"/>
          <w:szCs w:val="24"/>
          <w:lang w:val="en-US"/>
        </w:rPr>
      </w:pPr>
      <w:r w:rsidRPr="004F0268">
        <w:rPr>
          <w:rFonts w:ascii="Times New Roman" w:eastAsia="Times New Roman" w:hAnsi="Times New Roman" w:cs="Times New Roman"/>
          <w:b/>
          <w:i/>
          <w:sz w:val="24"/>
          <w:szCs w:val="24"/>
          <w:lang w:val="en-US"/>
        </w:rPr>
        <w:t>Hypothesis 2:</w:t>
      </w:r>
      <w:r w:rsidRPr="004F0268">
        <w:rPr>
          <w:rFonts w:ascii="Times New Roman" w:eastAsia="Times New Roman" w:hAnsi="Times New Roman" w:cs="Times New Roman"/>
          <w:i/>
          <w:sz w:val="24"/>
          <w:szCs w:val="24"/>
          <w:lang w:val="en-US"/>
        </w:rPr>
        <w:t xml:space="preserve"> Perceived Ease of Use positively influence the satisfaction of using </w:t>
      </w:r>
      <w:r w:rsidR="005D6E88">
        <w:rPr>
          <w:rFonts w:ascii="Times New Roman" w:eastAsia="Times New Roman" w:hAnsi="Times New Roman" w:cs="Times New Roman"/>
          <w:i/>
          <w:sz w:val="24"/>
          <w:szCs w:val="24"/>
          <w:lang w:val="en-US"/>
        </w:rPr>
        <w:t>Fintech</w:t>
      </w:r>
      <w:r w:rsidRPr="004F0268">
        <w:rPr>
          <w:rFonts w:ascii="Times New Roman" w:eastAsia="Times New Roman" w:hAnsi="Times New Roman" w:cs="Times New Roman"/>
          <w:i/>
          <w:sz w:val="24"/>
          <w:szCs w:val="24"/>
          <w:lang w:val="en-US"/>
        </w:rPr>
        <w:t xml:space="preserve"> among the Elderly people of Bangladesh.</w:t>
      </w:r>
    </w:p>
    <w:p w:rsidR="004649E1" w:rsidRPr="004F0268" w:rsidRDefault="004649E1" w:rsidP="004F0268">
      <w:pPr>
        <w:spacing w:before="100" w:beforeAutospacing="1" w:after="100" w:afterAutospacing="1" w:line="360" w:lineRule="auto"/>
        <w:jc w:val="both"/>
        <w:rPr>
          <w:rFonts w:ascii="Times New Roman" w:eastAsia="Times New Roman" w:hAnsi="Times New Roman" w:cs="Times New Roman"/>
          <w:i/>
          <w:sz w:val="24"/>
          <w:szCs w:val="24"/>
          <w:lang w:val="en-US"/>
        </w:rPr>
      </w:pPr>
      <w:r w:rsidRPr="004F0268">
        <w:rPr>
          <w:rFonts w:ascii="Times New Roman" w:eastAsia="Times New Roman" w:hAnsi="Times New Roman" w:cs="Times New Roman"/>
          <w:b/>
          <w:i/>
          <w:sz w:val="24"/>
          <w:szCs w:val="24"/>
          <w:lang w:val="en-US"/>
        </w:rPr>
        <w:t>Hypothesis 3</w:t>
      </w:r>
      <w:r w:rsidRPr="004F0268">
        <w:rPr>
          <w:rFonts w:ascii="Times New Roman" w:eastAsia="Times New Roman" w:hAnsi="Times New Roman" w:cs="Times New Roman"/>
          <w:i/>
          <w:sz w:val="24"/>
          <w:szCs w:val="24"/>
          <w:lang w:val="en-US"/>
        </w:rPr>
        <w:t xml:space="preserve">: </w:t>
      </w:r>
      <w:r w:rsidR="004F0268" w:rsidRPr="004F0268">
        <w:rPr>
          <w:rFonts w:ascii="Times New Roman" w:hAnsi="Times New Roman" w:cs="Times New Roman"/>
          <w:i/>
          <w:sz w:val="24"/>
          <w:szCs w:val="24"/>
        </w:rPr>
        <w:t xml:space="preserve">The perceived usefulness of </w:t>
      </w:r>
      <w:r w:rsidR="005D6E88">
        <w:rPr>
          <w:rFonts w:ascii="Times New Roman" w:hAnsi="Times New Roman" w:cs="Times New Roman"/>
          <w:i/>
          <w:sz w:val="24"/>
          <w:szCs w:val="24"/>
        </w:rPr>
        <w:t>Fintech</w:t>
      </w:r>
      <w:r w:rsidR="004F0268" w:rsidRPr="004F0268">
        <w:rPr>
          <w:rFonts w:ascii="Times New Roman" w:hAnsi="Times New Roman" w:cs="Times New Roman"/>
          <w:i/>
          <w:sz w:val="24"/>
          <w:szCs w:val="24"/>
        </w:rPr>
        <w:t xml:space="preserve"> services greatly increases elderly users' satisfaction in Bangladesh, as more effective services lead to higher satisfaction.</w:t>
      </w:r>
    </w:p>
    <w:p w:rsidR="00C94F4B" w:rsidRPr="00C94F4B" w:rsidRDefault="00C94F4B" w:rsidP="00C94F4B">
      <w:pPr>
        <w:spacing w:before="100" w:beforeAutospacing="1" w:after="100" w:afterAutospacing="1" w:line="240" w:lineRule="auto"/>
        <w:rPr>
          <w:rFonts w:ascii="Times New Roman" w:eastAsia="Times New Roman" w:hAnsi="Times New Roman" w:cs="Times New Roman"/>
          <w:b/>
          <w:sz w:val="24"/>
          <w:szCs w:val="24"/>
          <w:lang w:val="en-US"/>
        </w:rPr>
      </w:pPr>
      <w:r w:rsidRPr="00C94F4B">
        <w:rPr>
          <w:rFonts w:ascii="Times New Roman" w:eastAsia="Times New Roman" w:hAnsi="Times New Roman" w:cs="Times New Roman"/>
          <w:b/>
          <w:sz w:val="24"/>
          <w:szCs w:val="24"/>
          <w:lang w:val="en-US"/>
        </w:rPr>
        <w:t>Perceived Trust and Satisfaction:</w:t>
      </w:r>
    </w:p>
    <w:p w:rsidR="00C94F4B" w:rsidRPr="00C94F4B" w:rsidRDefault="00C94F4B" w:rsidP="004F6518">
      <w:pPr>
        <w:spacing w:before="100" w:beforeAutospacing="1" w:after="100" w:afterAutospacing="1" w:line="360" w:lineRule="auto"/>
        <w:jc w:val="both"/>
        <w:rPr>
          <w:rFonts w:ascii="Times New Roman" w:eastAsia="Times New Roman" w:hAnsi="Times New Roman" w:cs="Times New Roman"/>
          <w:sz w:val="24"/>
          <w:szCs w:val="24"/>
          <w:lang w:val="en-US"/>
        </w:rPr>
      </w:pPr>
      <w:r w:rsidRPr="00C94F4B">
        <w:rPr>
          <w:rFonts w:ascii="Times New Roman" w:eastAsia="Times New Roman" w:hAnsi="Times New Roman" w:cs="Times New Roman"/>
          <w:sz w:val="24"/>
          <w:szCs w:val="24"/>
          <w:lang w:val="en-US"/>
        </w:rPr>
        <w:t>Trust plays a pivotal role in the adoption and continued use of technology, especially in sensitive domains such as financial technology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In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where users entrust technology with critical financial transactions, the perception of trust is essential in mitigating risks and uncertainties associated with technology use</w:t>
      </w:r>
      <w:r w:rsidR="00A00E19">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&lt;EndNote&gt;&lt;Cite&gt;&lt;Author&gt;Jeyaraj&lt;/Author&gt;&lt;Year&gt;2023&lt;/Year&gt;&lt;RecNum&gt;925&lt;/RecNum&gt;&lt;DisplayText&gt;(Jeyaraj et al., 2023)&lt;/DisplayText&gt;&lt;record&gt;&lt;rec-number&gt;925&lt;/rec-number&gt;&lt;foreign-keys&gt;&lt;key app="EN" db-id="a2rsvzpeof2293e9sebptwz9ezdwezd52ax5" timestamp="1729263340"&gt;925&lt;/key&gt;&lt;/foreign-keys&gt;&lt;ref-type name="Journal Article"&gt;17&lt;/ref-type&gt;&lt;contributors&gt;&lt;authors&gt;&lt;author&gt;Jeyaraj, Anand&lt;/author&gt;&lt;author&gt;Dwivedi, Yogesh K.&lt;/author&gt;&lt;author&gt;Venkatesh, Viswanath&lt;/author&gt;&lt;/authors&gt;&lt;/contributors&gt;&lt;titles&gt;&lt;title&gt;Intention in information systems adoption and use: Current state and research directions&lt;/title&gt;&lt;secondary-title&gt;International Journal of Information Management&lt;/secondary-title&gt;&lt;/titles&gt;&lt;periodical&gt;&lt;full-title&gt;International Journal of Information Management&lt;/full-title&gt;&lt;/periodical&gt;&lt;pages&gt;102680&lt;/pages&gt;&lt;volume&gt;73&lt;/volume&gt;&lt;keywords&gt;&lt;keyword&gt;Information systems&lt;/keyword&gt;&lt;keyword&gt;Intention to adopt&lt;/keyword&gt;&lt;keyword&gt;Intention to use&lt;/keyword&gt;&lt;keyword&gt;Intention to continue use&lt;/keyword&gt;&lt;keyword&gt;Intention to discontinue&lt;/keyword&gt;&lt;keyword&gt;Intention to readopt&lt;/keyword&gt;&lt;keyword&gt;Intention to switch&lt;/keyword&gt;&lt;keyword&gt;Intention to upgrade&lt;/keyword&gt;&lt;/keywords&gt;&lt;dates&gt;&lt;year&gt;2023&lt;/year&gt;&lt;pub-dates&gt;&lt;date&gt;2023/12/01/&lt;/date&gt;&lt;/pub-dates&gt;&lt;/dates&gt;&lt;isbn&gt;0268-4012&lt;/isbn&gt;&lt;urls&gt;&lt;related-urls&gt;&lt;url&gt;https://www.sciencedirect.com/science/article/pii/S0268401223000610&lt;/url&gt;&lt;/related-urls&gt;&lt;/urls&gt;&lt;electronic-resource-num&gt;https://doi.org/10.1016/j.ijinfomgt.2023.102680&lt;/electronic-resource-num&gt;&lt;/record&gt;&lt;/Cite&gt;&lt;/EndNote&gt;</w:instrText>
      </w:r>
      <w:r w:rsidR="00A00E19">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(Jeyaraj et al., 2023)</w:t>
      </w:r>
      <w:r w:rsidR="00A00E19">
        <w:rPr>
          <w:rFonts w:ascii="Times New Roman" w:eastAsia="Times New Roman" w:hAnsi="Times New Roman" w:cs="Times New Roman"/>
          <w:sz w:val="24"/>
          <w:szCs w:val="24"/>
          <w:lang w:val="en-US"/>
        </w:rPr>
        <w:fldChar w:fldCharType="end"/>
      </w:r>
      <w:r w:rsidRPr="00C94F4B">
        <w:rPr>
          <w:rFonts w:ascii="Times New Roman" w:eastAsia="Times New Roman" w:hAnsi="Times New Roman" w:cs="Times New Roman"/>
          <w:sz w:val="24"/>
          <w:szCs w:val="24"/>
          <w:lang w:val="en-US"/>
        </w:rPr>
        <w:t xml:space="preserve">. This section explores how perceived trust influences user satisfaction with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services, drawing on established theories and empirical research.</w:t>
      </w:r>
      <w:r>
        <w:rPr>
          <w:rFonts w:ascii="Times New Roman" w:eastAsia="Times New Roman" w:hAnsi="Times New Roman" w:cs="Times New Roman"/>
          <w:sz w:val="24"/>
          <w:szCs w:val="24"/>
          <w:lang w:val="en-US"/>
        </w:rPr>
        <w:t xml:space="preserve"> </w:t>
      </w:r>
      <w:r w:rsidRPr="00C94F4B">
        <w:rPr>
          <w:rFonts w:ascii="Times New Roman" w:eastAsia="Times New Roman" w:hAnsi="Times New Roman" w:cs="Times New Roman"/>
          <w:sz w:val="24"/>
          <w:szCs w:val="24"/>
          <w:lang w:val="en-US"/>
        </w:rPr>
        <w:t>Perceived trust is fundamental in reducing the perceived risk and uncertainty associated with using technology</w:t>
      </w:r>
      <w:r w:rsidR="00A00E19">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&lt;EndNote&gt;&lt;Cite&gt;&lt;Author&gt;Ahmad&lt;/Author&gt;&lt;Year&gt;2017&lt;/Year&gt;&lt;RecNum&gt;926&lt;/RecNum&gt;&lt;DisplayText&gt;(Ahmad &amp;amp; Khalid, 2017)&lt;/DisplayText&gt;&lt;record&gt;&lt;rec-number&gt;926&lt;/rec-number&gt;&lt;foreign-keys&gt;&lt;key app="EN" db-id="a2rsvzpeof2293e9sebptwz9ezdwezd52ax5" timestamp="1729263396"&gt;926&lt;/key&gt;&lt;/foreign-keys&gt;&lt;ref-type name="Journal Article"&gt;17&lt;/ref-type&gt;&lt;contributors&gt;&lt;authors&gt;&lt;author&gt;Ahmad, Syed Zamberi&lt;/author&gt;&lt;author&gt;Khalid, Khalizani&lt;/author&gt;&lt;/authors&gt;&lt;/contributors&gt;&lt;titles&gt;&lt;title&gt;The adoption of M-government services from the user’s perspectives: Empirical evidence from the United Arab Emirates&lt;/title&gt;&lt;secondary-title&gt;International Journal of Information Management&lt;/secondary-title&gt;&lt;/titles&gt;&lt;periodical&gt;&lt;full-title&gt;International Journal of Information Management&lt;/full-title&gt;&lt;/periodical&gt;&lt;pages&gt;367-379&lt;/pages&gt;&lt;volume&gt;37&lt;/volume&gt;&lt;number&gt;5&lt;/number&gt;&lt;keywords&gt;&lt;keyword&gt;M-Government services&lt;/keyword&gt;&lt;keyword&gt;Technology acceptance model (TAM)&lt;/keyword&gt;&lt;keyword&gt;Adoption&lt;/keyword&gt;&lt;keyword&gt;Structural equation modeling&lt;/keyword&gt;&lt;keyword&gt;United Arab Emirates&lt;/keyword&gt;&lt;/keywords&gt;&lt;dates&gt;&lt;year&gt;2017&lt;/year&gt;&lt;pub-dates&gt;&lt;date&gt;2017/10/01/&lt;/date&gt;&lt;/pub-dates&gt;&lt;/dates&gt;&lt;isbn&gt;0268-4012&lt;/isbn&gt;&lt;urls&gt;&lt;related-urls&gt;&lt;url&gt;https://www.sciencedirect.com/science/article/pii/S0268401216307174&lt;/url&gt;&lt;/related-urls&gt;&lt;/urls&gt;&lt;electronic-resource-num&gt;https://doi.org/10.1016/j.ijinfomgt.2017.03.008&lt;/electronic-resource-num&gt;&lt;/record&gt;&lt;/Cite&gt;&lt;/EndNote&gt;</w:instrText>
      </w:r>
      <w:r w:rsidR="00A00E19">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(Ahmad &amp; Khalid, 2017)</w:t>
      </w:r>
      <w:r w:rsidR="00A00E19">
        <w:rPr>
          <w:rFonts w:ascii="Times New Roman" w:eastAsia="Times New Roman" w:hAnsi="Times New Roman" w:cs="Times New Roman"/>
          <w:sz w:val="24"/>
          <w:szCs w:val="24"/>
          <w:lang w:val="en-US"/>
        </w:rPr>
        <w:fldChar w:fldCharType="end"/>
      </w:r>
      <w:r w:rsidRPr="00C94F4B">
        <w:rPr>
          <w:rFonts w:ascii="Times New Roman" w:eastAsia="Times New Roman" w:hAnsi="Times New Roman" w:cs="Times New Roman"/>
          <w:sz w:val="24"/>
          <w:szCs w:val="24"/>
          <w:lang w:val="en-US"/>
        </w:rPr>
        <w:t xml:space="preserve">. </w:t>
      </w:r>
      <w:r w:rsidR="00A00E19">
        <w:rPr>
          <w:rFonts w:ascii="Times New Roman" w:eastAsia="Times New Roman" w:hAnsi="Times New Roman" w:cs="Times New Roman"/>
          <w:sz w:val="24"/>
          <w:szCs w:val="24"/>
          <w:lang w:val="en-US"/>
        </w:rPr>
        <w:t>T</w:t>
      </w:r>
      <w:r w:rsidRPr="00C94F4B">
        <w:rPr>
          <w:rFonts w:ascii="Times New Roman" w:eastAsia="Times New Roman" w:hAnsi="Times New Roman" w:cs="Times New Roman"/>
          <w:sz w:val="24"/>
          <w:szCs w:val="24"/>
          <w:lang w:val="en-US"/>
        </w:rPr>
        <w:t>rust in technology mitigates concerns about data security and system reliability, thereby enhancing overall user satisfaction</w:t>
      </w:r>
      <w:r w:rsidR="00A00E19">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&lt;EndNote&gt;&lt;Cite&gt;&lt;Author&gt;Sasikala&lt;/Author&gt;&lt;Year&gt;2018&lt;/Year&gt;&lt;RecNum&gt;927&lt;/RecNum&gt;&lt;DisplayText&gt;(Sasikala, Indhira, &amp;amp; Chandrasekaran, 2018)&lt;/DisplayText&gt;&lt;record&gt;&lt;rec-number&gt;927&lt;/rec-number&gt;&lt;foreign-keys&gt;&lt;key app="EN" db-id="a2rsvzpeof2293e9sebptwz9ezdwezd52ax5" timestamp="1729263516"&gt;927&lt;/key&gt;&lt;/foreign-keys&gt;&lt;ref-type name="Journal Article"&gt;17&lt;/ref-type&gt;&lt;contributors&gt;&lt;authors&gt;&lt;author&gt;Sasikala, S.&lt;/author&gt;&lt;author&gt;Indhira, K.&lt;/author&gt;&lt;author&gt;Chandrasekaran, V. M.&lt;/author&gt;&lt;/authors&gt;&lt;/contributors&gt;&lt;titles&gt;&lt;title&gt;Performance prediction of interactive telemedicine&lt;/title&gt;&lt;secondary-title&gt;Informatics in Medicine Unlocked&lt;/secondary-title&gt;&lt;/titles&gt;&lt;periodical&gt;&lt;full-title&gt;Informatics in Medicine Unlocked&lt;/full-title&gt;&lt;/periodical&gt;&lt;pages&gt;87-94&lt;/pages&gt;&lt;volume&gt;11&lt;/volume&gt;&lt;keywords&gt;&lt;keyword&gt;Telemedicine&lt;/keyword&gt;&lt;keyword&gt;Interactive telemedicine&lt;/keyword&gt;&lt;keyword&gt;Queueing system&lt;/keyword&gt;&lt;keyword&gt;Supplementary variable technique&lt;/keyword&gt;&lt;/keywords&gt;&lt;dates&gt;&lt;year&gt;2018&lt;/year&gt;&lt;pub-dates&gt;&lt;date&gt;2018/01/01/&lt;/date&gt;&lt;/pub-dates&gt;&lt;/dates&gt;&lt;isbn&gt;2352-9148&lt;/isbn&gt;&lt;urls&gt;&lt;related-urls&gt;&lt;url&gt;https://www.sciencedirect.com/science/article/pii/S2352914818300777&lt;/url&gt;&lt;/related-urls&gt;&lt;/urls&gt;&lt;electronic-resource-num&gt;https://doi.org/10.1016/j.imu.2018.03.003&lt;/electronic-resource-num&gt;&lt;/record&gt;&lt;/Cite&gt;&lt;/EndNote&gt;</w:instrText>
      </w:r>
      <w:r w:rsidR="00A00E19">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(Sasikala, Indhira, &amp; Chandrasekaran, 2018)</w:t>
      </w:r>
      <w:r w:rsidR="00A00E19">
        <w:rPr>
          <w:rFonts w:ascii="Times New Roman" w:eastAsia="Times New Roman" w:hAnsi="Times New Roman" w:cs="Times New Roman"/>
          <w:sz w:val="24"/>
          <w:szCs w:val="24"/>
          <w:lang w:val="en-US"/>
        </w:rPr>
        <w:fldChar w:fldCharType="end"/>
      </w:r>
      <w:r w:rsidRPr="00C94F4B">
        <w:rPr>
          <w:rFonts w:ascii="Times New Roman" w:eastAsia="Times New Roman" w:hAnsi="Times New Roman" w:cs="Times New Roman"/>
          <w:sz w:val="24"/>
          <w:szCs w:val="24"/>
          <w:lang w:val="en-US"/>
        </w:rPr>
        <w:t xml:space="preserve">. When users trust a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platform, they feel more secure about their financial transactions and are more confident in the technology’s ability to perform as expected.</w:t>
      </w:r>
    </w:p>
    <w:p w:rsidR="00C94F4B" w:rsidRPr="00C94F4B" w:rsidRDefault="00C94F4B" w:rsidP="004F6518">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C94F4B">
        <w:rPr>
          <w:rFonts w:ascii="Times New Roman" w:eastAsia="Times New Roman" w:hAnsi="Times New Roman" w:cs="Times New Roman"/>
          <w:sz w:val="24"/>
          <w:szCs w:val="24"/>
          <w:lang w:val="en-US"/>
        </w:rPr>
        <w:t xml:space="preserve">Research consistently supports the positive relationship between trust and user satisfaction. </w:t>
      </w:r>
      <w:proofErr w:type="spellStart"/>
      <w:r w:rsidR="00CF73A5">
        <w:rPr>
          <w:rFonts w:ascii="Times New Roman" w:eastAsia="Times New Roman" w:hAnsi="Times New Roman" w:cs="Times New Roman"/>
          <w:sz w:val="24"/>
          <w:szCs w:val="24"/>
          <w:lang w:val="en-US"/>
        </w:rPr>
        <w:t>H.Choi</w:t>
      </w:r>
      <w:proofErr w:type="spellEnd"/>
      <w:r w:rsidR="00CF73A5">
        <w:rPr>
          <w:rFonts w:ascii="Times New Roman" w:eastAsia="Times New Roman" w:hAnsi="Times New Roman" w:cs="Times New Roman"/>
          <w:sz w:val="24"/>
          <w:szCs w:val="24"/>
          <w:lang w:val="en-US"/>
        </w:rPr>
        <w:t xml:space="preserve"> et al. 2011</w:t>
      </w:r>
      <w:r w:rsidRPr="00C94F4B">
        <w:rPr>
          <w:rFonts w:ascii="Times New Roman" w:eastAsia="Times New Roman" w:hAnsi="Times New Roman" w:cs="Times New Roman"/>
          <w:sz w:val="24"/>
          <w:szCs w:val="24"/>
          <w:lang w:val="en-US"/>
        </w:rPr>
        <w:t xml:space="preserve"> demonstrate that trust in technology generates a positive emotional response, which significantly boosts user satisfaction</w:t>
      </w:r>
      <w:r w:rsidR="00CF73A5">
        <w:rPr>
          <w:rFonts w:ascii="Times New Roman" w:eastAsia="Times New Roman" w:hAnsi="Times New Roman" w:cs="Times New Roman"/>
          <w:sz w:val="24"/>
          <w:szCs w:val="24"/>
          <w:lang w:val="en-US"/>
        </w:rPr>
        <w:t xml:space="preserve"> </w:t>
      </w:r>
      <w:r w:rsidR="00CF73A5">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&lt;EndNote&gt;&lt;Cite&gt;&lt;Author&gt;Choi&lt;/Author&gt;&lt;Year&gt;2011&lt;/Year&gt;&lt;RecNum&gt;928&lt;/RecNum&gt;&lt;DisplayText&gt;(Choi, Kim, &amp;amp; Kim, 2011)&lt;/DisplayText&gt;&lt;record&gt;&lt;rec-number&gt;928&lt;/rec-number&gt;&lt;foreign-keys&gt;&lt;key app="EN" db-id="a2rsvzpeof2293e9sebptwz9ezdwezd52ax5" timestamp="1729263707"&gt;928&lt;/key&gt;&lt;/foreign-keys&gt;&lt;ref-type name="Journal Article"&gt;17&lt;/ref-type&gt;&lt;contributors&gt;&lt;authors&gt;&lt;author&gt;Choi, Hun&lt;/author&gt;&lt;author&gt;Kim, Youngchan&lt;/author&gt;&lt;author&gt;Kim, Jinwoo&lt;/author&gt;&lt;/authors&gt;&lt;/contributors&gt;&lt;titles&gt;&lt;title&gt;Driving factors of post adoption behavior in mobile data services&lt;/title&gt;&lt;secondary-title&gt;Journal of Business Research&lt;/secondary-title&gt;&lt;/titles&gt;&lt;periodical&gt;&lt;full-title&gt;Journal of Business Research&lt;/full-title&gt;&lt;/periodical&gt;&lt;pages&gt;1212-1217&lt;/pages&gt;&lt;volume&gt;64&lt;/volume&gt;&lt;number&gt;11&lt;/number&gt;&lt;keywords&gt;&lt;keyword&gt;Post adoption behavior&lt;/keyword&gt;&lt;keyword&gt;Motivation&lt;/keyword&gt;&lt;keyword&gt;Service type&lt;/keyword&gt;&lt;keyword&gt;Logistic regression&lt;/keyword&gt;&lt;keyword&gt;Mobile data service&lt;/keyword&gt;&lt;/keywords&gt;&lt;dates&gt;&lt;year&gt;2011&lt;/year&gt;&lt;pub-dates&gt;&lt;date&gt;2011/11/01/&lt;/date&gt;&lt;/pub-dates&gt;&lt;/dates&gt;&lt;isbn&gt;0148-2963&lt;/isbn&gt;&lt;urls&gt;&lt;related-urls&gt;&lt;url&gt;https://www.sciencedirect.com/science/article/pii/S0148296311002128&lt;/url&gt;&lt;/related-urls&gt;&lt;/urls&gt;&lt;electronic-resource-num&gt;https://doi.org/10.1016/j.jbusres.2011.06.025&lt;/electronic-resource-num&gt;&lt;/record&gt;&lt;/Cite&gt;&lt;/EndNote&gt;</w:instrText>
      </w:r>
      <w:r w:rsidR="00CF73A5">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(Choi, Kim, &amp; Kim, 2011)</w:t>
      </w:r>
      <w:r w:rsidR="00CF73A5">
        <w:rPr>
          <w:rFonts w:ascii="Times New Roman" w:eastAsia="Times New Roman" w:hAnsi="Times New Roman" w:cs="Times New Roman"/>
          <w:sz w:val="24"/>
          <w:szCs w:val="24"/>
          <w:lang w:val="en-US"/>
        </w:rPr>
        <w:fldChar w:fldCharType="end"/>
      </w:r>
      <w:r w:rsidRPr="00C94F4B">
        <w:rPr>
          <w:rFonts w:ascii="Times New Roman" w:eastAsia="Times New Roman" w:hAnsi="Times New Roman" w:cs="Times New Roman"/>
          <w:sz w:val="24"/>
          <w:szCs w:val="24"/>
          <w:lang w:val="en-US"/>
        </w:rPr>
        <w:t xml:space="preserve">. For instance, in the context of e-commerce and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users who trust the technology are more likely to experience higher satisfaction levels. This is attributed to the reduced perceived risk and increased confidence in the system’s reliability </w:t>
      </w:r>
      <w:r w:rsidR="00724996">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&lt;EndNote&gt;&lt;Cite&gt;&lt;Author&gt;Pavlou&lt;/Author&gt;&lt;Year&gt;2011&lt;/Year&gt;&lt;RecNum&gt;929&lt;/RecNum&gt;&lt;DisplayText&gt;(Pavlou, 2011)&lt;/DisplayText&gt;&lt;record&gt;&lt;rec-number&gt;929&lt;/rec-number&gt;&lt;foreign-keys&gt;&lt;key app="EN" db-id="a2rsvzpeof2293e9sebptwz9ezdwezd52ax5" timestamp="1729264446"&gt;929&lt;/key&gt;&lt;/foreign-keys&gt;&lt;ref-type name="Journal Article"&gt;17&lt;/ref-type&gt;&lt;contributors&gt;&lt;authors&gt;&lt;author&gt;Pavlou, Paul A.&lt;/author&gt;&lt;/authors&gt;&lt;/contributors&gt;&lt;titles&gt;&lt;title&gt;State of the Information Privacy Literature: Where are We Now And Where Should We Go?&lt;/title&gt;&lt;secondary-title&gt;MIS Quarterly&lt;/secondary-title&gt;&lt;/titles&gt;&lt;periodical&gt;&lt;full-title&gt;MIS Quarterly&lt;/full-title&gt;&lt;/periodical&gt;&lt;pages&gt;977-988&lt;/pages&gt;&lt;volume&gt;35&lt;/volume&gt;&lt;number&gt;4&lt;/number&gt;&lt;dates&gt;&lt;year&gt;2011&lt;/year&gt;&lt;/dates&gt;&lt;publisher&gt;Management Information Systems Research Center, University of Minnesota&lt;/publisher&gt;&lt;isbn&gt;02767783&lt;/isbn&gt;&lt;urls&gt;&lt;related-urls&gt;&lt;url&gt;http://www.jstor.org/stable/41409969&lt;/url&gt;&lt;/related-urls&gt;&lt;/urls&gt;&lt;custom1&gt;Full publication date: December 2011&lt;/custom1&gt;&lt;electronic-resource-num&gt;10.2307/41409969&lt;/electronic-resource-num&gt;&lt;remote-database-name&gt;JSTOR&lt;/remote-database-name&gt;&lt;access-date&gt;2024/10/18/&lt;/access-date&gt;&lt;/record&gt;&lt;/Cite&gt;&lt;/EndNote&gt;</w:instrText>
      </w:r>
      <w:r w:rsidR="00724996">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(Pavlou, 2011)</w:t>
      </w:r>
      <w:r w:rsidR="00724996">
        <w:rPr>
          <w:rFonts w:ascii="Times New Roman" w:eastAsia="Times New Roman" w:hAnsi="Times New Roman" w:cs="Times New Roman"/>
          <w:sz w:val="24"/>
          <w:szCs w:val="24"/>
          <w:lang w:val="en-US"/>
        </w:rPr>
        <w:fldChar w:fldCharType="end"/>
      </w:r>
      <w:r w:rsidR="00724996">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w:t>
      </w:r>
      <w:r w:rsidRPr="00C94F4B">
        <w:rPr>
          <w:rFonts w:ascii="Times New Roman" w:eastAsia="Times New Roman" w:hAnsi="Times New Roman" w:cs="Times New Roman"/>
          <w:sz w:val="24"/>
          <w:szCs w:val="24"/>
          <w:lang w:val="en-US"/>
        </w:rPr>
        <w:t xml:space="preserve">Trust reduces the perceived risk associated with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services. When users trust a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platform, they believe that their personal and financial information is secure, and the system will operate reliably. This trust leads to a lower perceived risk, which enhances users' overall satisfaction with the service. Trust creates a secure and reliable environment, making users more comfortable and satisfied with their technology experience.</w:t>
      </w:r>
    </w:p>
    <w:p w:rsidR="00C94F4B" w:rsidRPr="00C94F4B" w:rsidRDefault="00C94F4B" w:rsidP="004F6518">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C94F4B">
        <w:rPr>
          <w:rFonts w:ascii="Times New Roman" w:eastAsia="Times New Roman" w:hAnsi="Times New Roman" w:cs="Times New Roman"/>
          <w:sz w:val="24"/>
          <w:szCs w:val="24"/>
          <w:lang w:val="en-US"/>
        </w:rPr>
        <w:t xml:space="preserve">The impact of trust extends beyond immediate satisfaction. It is crucial for fostering long-term user engagement and loyalty. Users who trust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platforms are more likely to remain engaged with the service and continue using it over time. This sustained engagement is a result of the confidence built through trust, which ensures users feel secure and valued by the service provider.</w:t>
      </w:r>
      <w:r>
        <w:rPr>
          <w:rFonts w:ascii="Times New Roman" w:eastAsia="Times New Roman" w:hAnsi="Times New Roman" w:cs="Times New Roman"/>
          <w:sz w:val="24"/>
          <w:szCs w:val="24"/>
          <w:lang w:val="en-US"/>
        </w:rPr>
        <w:t xml:space="preserve"> P</w:t>
      </w:r>
      <w:r w:rsidRPr="00C94F4B">
        <w:rPr>
          <w:rFonts w:ascii="Times New Roman" w:eastAsia="Times New Roman" w:hAnsi="Times New Roman" w:cs="Times New Roman"/>
          <w:sz w:val="24"/>
          <w:szCs w:val="24"/>
          <w:lang w:val="en-US"/>
        </w:rPr>
        <w:t xml:space="preserve">erceived trust significantly influences user satisfaction with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services by reducing perceived risk and increasing confidence in the technology’s reliability. Empirical research supports the notion that trust fosters a positive emotional response and enhances overall satisfaction. For </w:t>
      </w:r>
      <w:r w:rsidR="005D6E88">
        <w:rPr>
          <w:rFonts w:ascii="Times New Roman" w:eastAsia="Times New Roman" w:hAnsi="Times New Roman" w:cs="Times New Roman"/>
          <w:sz w:val="24"/>
          <w:szCs w:val="24"/>
          <w:lang w:val="en-US"/>
        </w:rPr>
        <w:t>Fintech</w:t>
      </w:r>
      <w:r w:rsidRPr="00C94F4B">
        <w:rPr>
          <w:rFonts w:ascii="Times New Roman" w:eastAsia="Times New Roman" w:hAnsi="Times New Roman" w:cs="Times New Roman"/>
          <w:sz w:val="24"/>
          <w:szCs w:val="24"/>
          <w:lang w:val="en-US"/>
        </w:rPr>
        <w:t xml:space="preserve"> providers, establishing and maintaining user trust is essential for achieving high levels of user satisfaction and ensuring long-term engagement and loyalty.</w:t>
      </w:r>
    </w:p>
    <w:p w:rsidR="00D54AC4" w:rsidRPr="004F0268" w:rsidRDefault="00D54AC4" w:rsidP="00D54AC4">
      <w:pPr>
        <w:spacing w:before="100" w:beforeAutospacing="1" w:after="100" w:afterAutospacing="1" w:line="360" w:lineRule="auto"/>
        <w:jc w:val="both"/>
        <w:rPr>
          <w:rFonts w:ascii="Times New Roman" w:eastAsia="Times New Roman" w:hAnsi="Times New Roman" w:cs="Times New Roman"/>
          <w:i/>
          <w:sz w:val="24"/>
          <w:szCs w:val="24"/>
          <w:lang w:val="en-US"/>
        </w:rPr>
      </w:pPr>
      <w:r w:rsidRPr="004F0268">
        <w:rPr>
          <w:rFonts w:ascii="Times New Roman" w:eastAsia="Times New Roman" w:hAnsi="Times New Roman" w:cs="Times New Roman"/>
          <w:b/>
          <w:i/>
          <w:sz w:val="24"/>
          <w:szCs w:val="24"/>
          <w:lang w:val="en-US"/>
        </w:rPr>
        <w:t>H</w:t>
      </w:r>
      <w:r>
        <w:rPr>
          <w:rFonts w:ascii="Times New Roman" w:eastAsia="Times New Roman" w:hAnsi="Times New Roman" w:cs="Times New Roman"/>
          <w:b/>
          <w:i/>
          <w:sz w:val="24"/>
          <w:szCs w:val="24"/>
          <w:lang w:val="en-US"/>
        </w:rPr>
        <w:t>ypothesis 4</w:t>
      </w:r>
      <w:r w:rsidRPr="004F0268">
        <w:rPr>
          <w:rFonts w:ascii="Times New Roman" w:eastAsia="Times New Roman" w:hAnsi="Times New Roman" w:cs="Times New Roman"/>
          <w:i/>
          <w:sz w:val="24"/>
          <w:szCs w:val="24"/>
          <w:lang w:val="en-US"/>
        </w:rPr>
        <w:t xml:space="preserve">: </w:t>
      </w:r>
      <w:r w:rsidRPr="004F0268">
        <w:rPr>
          <w:rFonts w:ascii="Times New Roman" w:hAnsi="Times New Roman" w:cs="Times New Roman"/>
          <w:i/>
          <w:sz w:val="24"/>
          <w:szCs w:val="24"/>
        </w:rPr>
        <w:t xml:space="preserve">The perceived </w:t>
      </w:r>
      <w:r>
        <w:rPr>
          <w:rFonts w:ascii="Times New Roman" w:hAnsi="Times New Roman" w:cs="Times New Roman"/>
          <w:i/>
          <w:sz w:val="24"/>
          <w:szCs w:val="24"/>
        </w:rPr>
        <w:t xml:space="preserve">Trust of </w:t>
      </w:r>
      <w:r w:rsidR="005D6E88">
        <w:rPr>
          <w:rFonts w:ascii="Times New Roman" w:hAnsi="Times New Roman" w:cs="Times New Roman"/>
          <w:i/>
          <w:sz w:val="24"/>
          <w:szCs w:val="24"/>
        </w:rPr>
        <w:t>Fintech</w:t>
      </w:r>
      <w:r w:rsidRPr="004F0268">
        <w:rPr>
          <w:rFonts w:ascii="Times New Roman" w:hAnsi="Times New Roman" w:cs="Times New Roman"/>
          <w:i/>
          <w:sz w:val="24"/>
          <w:szCs w:val="24"/>
        </w:rPr>
        <w:t xml:space="preserve"> services </w:t>
      </w:r>
      <w:r>
        <w:rPr>
          <w:rFonts w:ascii="Times New Roman" w:hAnsi="Times New Roman" w:cs="Times New Roman"/>
          <w:i/>
          <w:sz w:val="24"/>
          <w:szCs w:val="24"/>
        </w:rPr>
        <w:t>influences</w:t>
      </w:r>
      <w:r w:rsidRPr="004F0268">
        <w:rPr>
          <w:rFonts w:ascii="Times New Roman" w:hAnsi="Times New Roman" w:cs="Times New Roman"/>
          <w:i/>
          <w:sz w:val="24"/>
          <w:szCs w:val="24"/>
        </w:rPr>
        <w:t xml:space="preserve"> elderly users' satisfaction </w:t>
      </w:r>
    </w:p>
    <w:p w:rsidR="00D2103F" w:rsidRPr="00B7478B" w:rsidRDefault="00B7478B" w:rsidP="00D2103F">
      <w:pPr>
        <w:spacing w:before="100" w:beforeAutospacing="1" w:after="100" w:afterAutospacing="1" w:line="360" w:lineRule="auto"/>
        <w:jc w:val="both"/>
        <w:rPr>
          <w:rFonts w:ascii="Times New Roman" w:eastAsia="Times New Roman" w:hAnsi="Times New Roman" w:cs="Times New Roman"/>
          <w:b/>
          <w:sz w:val="24"/>
          <w:szCs w:val="24"/>
          <w:lang w:val="en-US"/>
        </w:rPr>
      </w:pPr>
      <w:r w:rsidRPr="00B7478B">
        <w:rPr>
          <w:rFonts w:ascii="Times New Roman" w:eastAsia="Times New Roman" w:hAnsi="Times New Roman" w:cs="Times New Roman"/>
          <w:b/>
          <w:sz w:val="24"/>
          <w:szCs w:val="24"/>
          <w:lang w:val="en-US"/>
        </w:rPr>
        <w:t>Users Experiences and Satisfaction:</w:t>
      </w:r>
    </w:p>
    <w:p w:rsidR="00B7478B" w:rsidRPr="00B7478B" w:rsidRDefault="00B7478B" w:rsidP="004F6518">
      <w:pPr>
        <w:spacing w:before="100" w:beforeAutospacing="1" w:after="100" w:afterAutospacing="1" w:line="360" w:lineRule="auto"/>
        <w:jc w:val="both"/>
        <w:rPr>
          <w:rFonts w:ascii="Times New Roman" w:eastAsia="Times New Roman" w:hAnsi="Times New Roman" w:cs="Times New Roman"/>
          <w:sz w:val="24"/>
          <w:szCs w:val="24"/>
          <w:lang w:val="en-US"/>
        </w:rPr>
      </w:pPr>
      <w:r w:rsidRPr="00B7478B">
        <w:rPr>
          <w:rFonts w:ascii="Times New Roman" w:eastAsia="Times New Roman" w:hAnsi="Times New Roman" w:cs="Times New Roman"/>
          <w:sz w:val="24"/>
          <w:szCs w:val="24"/>
          <w:lang w:val="en-US"/>
        </w:rPr>
        <w:t xml:space="preserve">For elderly people in Bangladesh, user experience is a crucial factor in determining satisfaction with technology, including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User experience, which encompasses the cumulative impact of interactions with technology over time, becomes particularly significant as older users often face unique challenges when adopting new technologies. As elderly individuals become more familiar and comfortable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their satisfaction levels typically increase. This section explores how user experience impacts satisfaction among elderly users in Bangladesh, supported by relevant research.</w:t>
      </w:r>
      <w:r>
        <w:rPr>
          <w:rFonts w:ascii="Times New Roman" w:eastAsia="Times New Roman" w:hAnsi="Times New Roman" w:cs="Times New Roman"/>
          <w:sz w:val="24"/>
          <w:szCs w:val="24"/>
          <w:lang w:val="en-US"/>
        </w:rPr>
        <w:t xml:space="preserve"> </w:t>
      </w:r>
      <w:r w:rsidRPr="00B7478B">
        <w:rPr>
          <w:rFonts w:ascii="Times New Roman" w:eastAsia="Times New Roman" w:hAnsi="Times New Roman" w:cs="Times New Roman"/>
          <w:sz w:val="24"/>
          <w:szCs w:val="24"/>
          <w:lang w:val="en-US"/>
        </w:rPr>
        <w:t xml:space="preserve">In the context of elderly users in Bangladesh, user experience refers to the overall interaction and familiarity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such as mobile banking, digital wallets, and online payment platforms. McKinney et al. (2002) suggest that as elderly users gain more experience with these technologies, they develop a better understanding of their features and functionalities. This growing familiarity helps elderly users navigate the systems more effectively, leading to increased satisfaction. As they become more adept at using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their comfort and confidence grow, which positively impacts their overall satisfaction.</w:t>
      </w:r>
    </w:p>
    <w:p w:rsidR="00B7478B" w:rsidRPr="00B7478B" w:rsidRDefault="00B7478B" w:rsidP="004F6518">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B7478B">
        <w:rPr>
          <w:rFonts w:ascii="Times New Roman" w:eastAsia="Times New Roman" w:hAnsi="Times New Roman" w:cs="Times New Roman"/>
          <w:sz w:val="24"/>
          <w:szCs w:val="24"/>
          <w:lang w:val="en-US"/>
        </w:rPr>
        <w:t xml:space="preserve">The literature provides robust evidence on the relationship between user experience and satisfaction. </w:t>
      </w:r>
      <w:r w:rsidR="003265F2">
        <w:rPr>
          <w:rFonts w:ascii="Times New Roman" w:eastAsia="Times New Roman" w:hAnsi="Times New Roman" w:cs="Times New Roman"/>
          <w:sz w:val="24"/>
          <w:szCs w:val="24"/>
          <w:lang w:val="en-US"/>
        </w:rPr>
        <w:t>E</w:t>
      </w:r>
      <w:r w:rsidRPr="00B7478B">
        <w:rPr>
          <w:rFonts w:ascii="Times New Roman" w:eastAsia="Times New Roman" w:hAnsi="Times New Roman" w:cs="Times New Roman"/>
          <w:sz w:val="24"/>
          <w:szCs w:val="24"/>
          <w:lang w:val="en-US"/>
        </w:rPr>
        <w:t>xperienced users, including elderly individuals, are generally better at managing technology and resolving issues, which enhances their satisfaction</w:t>
      </w:r>
      <w:r w:rsidR="003265F2">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&lt;EndNote&gt;&lt;Cite&gt;&lt;Author&gt;Barkhi&lt;/Author&gt;&lt;Year&gt;2007&lt;/Year&gt;&lt;RecNum&gt;930&lt;/RecNum&gt;&lt;DisplayText&gt;(Barkhi &amp;amp; Wallace, 2007)&lt;/DisplayText&gt;&lt;record&gt;&lt;rec-number&gt;930&lt;/rec-number&gt;&lt;foreign-keys&gt;&lt;key app="EN" db-id="a2rsvzpeof2293e9sebptwz9ezdwezd52ax5" timestamp="1729266396"&gt;930&lt;/key&gt;&lt;/foreign-keys&gt;&lt;ref-type name="Journal Article"&gt;17&lt;/ref-type&gt;&lt;contributors&gt;&lt;authors&gt;&lt;author&gt;Barkhi, Reza&lt;/author&gt;&lt;author&gt;Wallace, Linda&lt;/author&gt;&lt;/authors&gt;&lt;/contributors&gt;&lt;titles&gt;&lt;title&gt;The impact of personality type on purchasing decisions in virtual stores&lt;/title&gt;&lt;secondary-title&gt;Information Technology and Management&lt;/secondary-title&gt;&lt;/titles&gt;&lt;periodical&gt;&lt;full-title&gt;Information Technology and Management&lt;/full-title&gt;&lt;/periodical&gt;&lt;pages&gt;313-330&lt;/pages&gt;&lt;volume&gt;8&lt;/volume&gt;&lt;number&gt;4&lt;/number&gt;&lt;dates&gt;&lt;year&gt;2007&lt;/year&gt;&lt;pub-dates&gt;&lt;date&gt;2007/12/01&lt;/date&gt;&lt;/pub-dates&gt;&lt;/dates&gt;&lt;isbn&gt;1573-7667&lt;/isbn&gt;&lt;urls&gt;&lt;related-urls&gt;&lt;url&gt;https://doi.org/10.1007/s10799-007-0021-y&lt;/url&gt;&lt;/related-urls&gt;&lt;/urls&gt;&lt;electronic-resource-num&gt;10.1007/s10799-007-0021-y&lt;/electronic-resource-num&gt;&lt;/record&gt;&lt;/Cite&gt;&lt;/EndNote&gt;</w:instrText>
      </w:r>
      <w:r w:rsidR="003265F2">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(Barkhi &amp; Wallace, 2007)</w:t>
      </w:r>
      <w:r w:rsidR="003265F2">
        <w:rPr>
          <w:rFonts w:ascii="Times New Roman" w:eastAsia="Times New Roman" w:hAnsi="Times New Roman" w:cs="Times New Roman"/>
          <w:sz w:val="24"/>
          <w:szCs w:val="24"/>
          <w:lang w:val="en-US"/>
        </w:rPr>
        <w:fldChar w:fldCharType="end"/>
      </w:r>
      <w:r w:rsidRPr="00B7478B">
        <w:rPr>
          <w:rFonts w:ascii="Times New Roman" w:eastAsia="Times New Roman" w:hAnsi="Times New Roman" w:cs="Times New Roman"/>
          <w:sz w:val="24"/>
          <w:szCs w:val="24"/>
          <w:lang w:val="en-US"/>
        </w:rPr>
        <w:t xml:space="preserve">. For elderly people in Bangladesh, this means that those who have more experience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are likely to find them more effective and efficient, leading to higher satisfaction levels.</w:t>
      </w:r>
      <w:r>
        <w:rPr>
          <w:rFonts w:ascii="Times New Roman" w:eastAsia="Times New Roman" w:hAnsi="Times New Roman" w:cs="Times New Roman"/>
          <w:sz w:val="24"/>
          <w:szCs w:val="24"/>
          <w:lang w:val="en-US"/>
        </w:rPr>
        <w:t xml:space="preserve"> </w:t>
      </w:r>
      <w:r w:rsidRPr="00B7478B">
        <w:rPr>
          <w:rFonts w:ascii="Times New Roman" w:eastAsia="Times New Roman" w:hAnsi="Times New Roman" w:cs="Times New Roman"/>
          <w:sz w:val="24"/>
          <w:szCs w:val="24"/>
          <w:lang w:val="en-US"/>
        </w:rPr>
        <w:t>Sun et al. (2014) further corroborate this perspective by highlighting the importance of user experience in boosting satisfaction across various technology domains</w:t>
      </w:r>
      <w:r w:rsidR="00952D2C">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&lt;EndNote&gt;&lt;Cite&gt;&lt;Author&gt;Sun&lt;/Author&gt;&lt;Year&gt;2018&lt;/Year&gt;&lt;RecNum&gt;932&lt;/RecNum&gt;&lt;DisplayText&gt;(Sun &amp;amp; Chi, 2018)&lt;/DisplayText&gt;&lt;record&gt;&lt;rec-number&gt;932&lt;/rec-number&gt;&lt;foreign-keys&gt;&lt;key app="EN" db-id="a2rsvzpeof2293e9sebptwz9ezdwezd52ax5" timestamp="1729312726"&gt;932&lt;/key&gt;&lt;/foreign-keys&gt;&lt;ref-type name="Journal Article"&gt;17&lt;/ref-type&gt;&lt;contributors&gt;&lt;authors&gt;&lt;author&gt;Sun, Jing&lt;/author&gt;&lt;author&gt;Chi, Ting&lt;/author&gt;&lt;/authors&gt;&lt;/contributors&gt;&lt;titles&gt;&lt;title&gt;Key factors influencing the adoption of apparel mobile commerce: an empirical study of Chinese consumers&lt;/title&gt;&lt;secondary-title&gt;The Journal of The Textile Institute&lt;/secondary-title&gt;&lt;/titles&gt;&lt;periodical&gt;&lt;full-title&gt;The Journal of The Textile Institute&lt;/full-title&gt;&lt;/periodical&gt;&lt;pages&gt;785-797&lt;/pages&gt;&lt;volume&gt;109&lt;/volume&gt;&lt;number&gt;6&lt;/number&gt;&lt;dates&gt;&lt;year&gt;2018&lt;/year&gt;&lt;pub-dates&gt;&lt;date&gt;2018/06/03&lt;/date&gt;&lt;/pub-dates&gt;&lt;/dates&gt;&lt;publisher&gt;Taylor &amp;amp; Francis&lt;/publisher&gt;&lt;isbn&gt;0040-5000&lt;/isbn&gt;&lt;urls&gt;&lt;related-urls&gt;&lt;url&gt;https://doi.org/10.1080/00405000.2017.1371828&lt;/url&gt;&lt;/related-urls&gt;&lt;/urls&gt;&lt;electronic-resource-num&gt;10.1080/00405000.2017.1371828&lt;/electronic-resource-num&gt;&lt;/record&gt;&lt;/Cite&gt;&lt;/EndNote&gt;</w:instrText>
      </w:r>
      <w:r w:rsidR="00952D2C">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(Sun &amp; Chi, 2018)</w:t>
      </w:r>
      <w:r w:rsidR="00952D2C">
        <w:rPr>
          <w:rFonts w:ascii="Times New Roman" w:eastAsia="Times New Roman" w:hAnsi="Times New Roman" w:cs="Times New Roman"/>
          <w:sz w:val="24"/>
          <w:szCs w:val="24"/>
          <w:lang w:val="en-US"/>
        </w:rPr>
        <w:fldChar w:fldCharType="end"/>
      </w:r>
      <w:r w:rsidRPr="00B7478B">
        <w:rPr>
          <w:rFonts w:ascii="Times New Roman" w:eastAsia="Times New Roman" w:hAnsi="Times New Roman" w:cs="Times New Roman"/>
          <w:sz w:val="24"/>
          <w:szCs w:val="24"/>
          <w:lang w:val="en-US"/>
        </w:rPr>
        <w:t xml:space="preserve">. Their research suggests that as elderly users interact more frequently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their proficiency and comfort increase, resulting in greater satisfaction. For elderly users in Bangladesh, this improved experience translates into a more seamless and rewarding engagement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w:t>
      </w:r>
    </w:p>
    <w:p w:rsidR="00B7478B" w:rsidRPr="00B7478B" w:rsidRDefault="00B7478B" w:rsidP="004F6518">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B7478B">
        <w:rPr>
          <w:rFonts w:ascii="Times New Roman" w:eastAsia="Times New Roman" w:hAnsi="Times New Roman" w:cs="Times New Roman"/>
          <w:sz w:val="24"/>
          <w:szCs w:val="24"/>
          <w:lang w:val="en-US"/>
        </w:rPr>
        <w:t xml:space="preserve">The positive relationship between user experience and satisfaction can be attributed to increased competence and familiarity. For elderly users in Bangladesh, those who gain more experience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become more skilled at using these technologies and addressing any challenges they encounter. This competence allows them to maximize the benefits of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such as managing finances more efficiently and independently. Consequently, this enhanced ability contributes to a higher level of satisfaction with the technology.</w:t>
      </w:r>
      <w:r>
        <w:rPr>
          <w:rFonts w:ascii="Times New Roman" w:eastAsia="Times New Roman" w:hAnsi="Times New Roman" w:cs="Times New Roman"/>
          <w:sz w:val="24"/>
          <w:szCs w:val="24"/>
          <w:lang w:val="en-US"/>
        </w:rPr>
        <w:t xml:space="preserve"> </w:t>
      </w:r>
      <w:r w:rsidRPr="00B7478B">
        <w:rPr>
          <w:rFonts w:ascii="Times New Roman" w:eastAsia="Times New Roman" w:hAnsi="Times New Roman" w:cs="Times New Roman"/>
          <w:sz w:val="24"/>
          <w:szCs w:val="24"/>
          <w:lang w:val="en-US"/>
        </w:rPr>
        <w:t xml:space="preserve">In summary, for elderly people in Bangladesh, user experience plays a vital role in influencing satisfaction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As these users gain more experience and become more familiar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platforms, their comfort and effectiveness in using the technology improve, leading to higher satisfaction levels. Research supports this relationship, showing that experienced users are better equipped to navigate and utilize technology effectively </w:t>
      </w:r>
      <w:r w:rsidR="0053167B">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&lt;EndNote&gt;&lt;Cite&gt;&lt;Author&gt;Malik&lt;/Author&gt;&lt;Year&gt;2022&lt;/Year&gt;&lt;RecNum&gt;933&lt;/RecNum&gt;&lt;DisplayText&gt;(Malik &amp;amp; Singh, 2022)&lt;/DisplayText&gt;&lt;record&gt;&lt;rec-number&gt;933&lt;/rec-number&gt;&lt;foreign-keys&gt;&lt;key app="EN" db-id="a2rsvzpeof2293e9sebptwz9ezdwezd52ax5" timestamp="1729314004"&gt;933&lt;/key&gt;&lt;/foreign-keys&gt;&lt;ref-type name="Journal Article"&gt;17&lt;/ref-type&gt;&lt;contributors&gt;&lt;authors&gt;&lt;author&gt;Malik, Garima&lt;/author&gt;&lt;author&gt;Singh, Dharmendra&lt;/author&gt;&lt;/authors&gt;&lt;/contributors&gt;&lt;titles&gt;&lt;title&gt;Personality matters: does an individual&amp;apos;s personality affect adoption and continued use of green banking channels?&lt;/title&gt;&lt;secondary-title&gt;International Journal of Bank Marketing&lt;/secondary-title&gt;&lt;/titles&gt;&lt;periodical&gt;&lt;full-title&gt;International Journal of Bank Marketing&lt;/full-title&gt;&lt;/periodical&gt;&lt;pages&gt;746-772&lt;/pages&gt;&lt;volume&gt;40&lt;/volume&gt;&lt;number&gt;4&lt;/number&gt;&lt;dates&gt;&lt;year&gt;2022&lt;/year&gt;&lt;/dates&gt;&lt;publisher&gt;Emerald Publishing Limited&lt;/publisher&gt;&lt;isbn&gt;0265-2323&lt;/isbn&gt;&lt;urls&gt;&lt;related-urls&gt;&lt;url&gt;https://doi.org/10.1108/IJBM-04-2021-0133&lt;/url&gt;&lt;/related-urls&gt;&lt;/urls&gt;&lt;electronic-resource-num&gt;10.1108/IJBM-04-2021-0133&lt;/electronic-resource-num&gt;&lt;access-date&gt;2024/10/19&lt;/access-date&gt;&lt;/record&gt;&lt;/Cite&gt;&lt;/EndNote&gt;</w:instrText>
      </w:r>
      <w:r w:rsidR="0053167B">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(Malik &amp; Singh, 2022)</w:t>
      </w:r>
      <w:r w:rsidR="0053167B">
        <w:rPr>
          <w:rFonts w:ascii="Times New Roman" w:eastAsia="Times New Roman" w:hAnsi="Times New Roman" w:cs="Times New Roman"/>
          <w:sz w:val="24"/>
          <w:szCs w:val="24"/>
          <w:lang w:val="en-US"/>
        </w:rPr>
        <w:fldChar w:fldCharType="end"/>
      </w:r>
      <w:r w:rsidRPr="00B7478B">
        <w:rPr>
          <w:rFonts w:ascii="Times New Roman" w:eastAsia="Times New Roman" w:hAnsi="Times New Roman" w:cs="Times New Roman"/>
          <w:sz w:val="24"/>
          <w:szCs w:val="24"/>
          <w:lang w:val="en-US"/>
        </w:rPr>
        <w:t xml:space="preserve">. Therefore, enhancing user experience is essential for increasing satisfaction among elderly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users in Bangladesh.</w:t>
      </w:r>
    </w:p>
    <w:p w:rsidR="00D54AC4" w:rsidRPr="00B7478B" w:rsidRDefault="00D54AC4" w:rsidP="00B7478B">
      <w:pPr>
        <w:spacing w:before="100" w:beforeAutospacing="1" w:after="100" w:afterAutospacing="1" w:line="240" w:lineRule="auto"/>
        <w:rPr>
          <w:rFonts w:ascii="Times New Roman" w:eastAsia="Times New Roman" w:hAnsi="Times New Roman" w:cs="Times New Roman"/>
          <w:i/>
          <w:sz w:val="24"/>
          <w:szCs w:val="24"/>
          <w:lang w:val="en-US"/>
        </w:rPr>
      </w:pPr>
      <w:r w:rsidRPr="006B04A7">
        <w:rPr>
          <w:rFonts w:ascii="Times New Roman" w:eastAsia="Times New Roman" w:hAnsi="Times New Roman" w:cs="Times New Roman"/>
          <w:b/>
          <w:i/>
          <w:sz w:val="24"/>
          <w:szCs w:val="24"/>
          <w:lang w:val="en-US"/>
        </w:rPr>
        <w:t xml:space="preserve">Hypothesis 5: </w:t>
      </w:r>
      <w:r w:rsidRPr="006B04A7">
        <w:rPr>
          <w:rFonts w:ascii="Times New Roman" w:eastAsia="Times New Roman" w:hAnsi="Times New Roman" w:cs="Times New Roman"/>
          <w:i/>
          <w:sz w:val="24"/>
          <w:szCs w:val="24"/>
          <w:lang w:val="en-US"/>
        </w:rPr>
        <w:t xml:space="preserve">The Experiences of Users influences the Satisfaction of </w:t>
      </w:r>
      <w:r w:rsidR="005D6E88">
        <w:rPr>
          <w:rFonts w:ascii="Times New Roman" w:eastAsia="Times New Roman" w:hAnsi="Times New Roman" w:cs="Times New Roman"/>
          <w:i/>
          <w:sz w:val="24"/>
          <w:szCs w:val="24"/>
          <w:lang w:val="en-US"/>
        </w:rPr>
        <w:t>Fintech</w:t>
      </w:r>
      <w:r w:rsidRPr="006B04A7">
        <w:rPr>
          <w:rFonts w:ascii="Times New Roman" w:eastAsia="Times New Roman" w:hAnsi="Times New Roman" w:cs="Times New Roman"/>
          <w:i/>
          <w:sz w:val="24"/>
          <w:szCs w:val="24"/>
          <w:lang w:val="en-US"/>
        </w:rPr>
        <w:t>.</w:t>
      </w:r>
    </w:p>
    <w:p w:rsidR="00B7478B" w:rsidRPr="00B7478B" w:rsidRDefault="00B7478B" w:rsidP="00B7478B">
      <w:pPr>
        <w:spacing w:before="100" w:beforeAutospacing="1" w:after="100" w:afterAutospacing="1" w:line="240" w:lineRule="auto"/>
        <w:rPr>
          <w:rFonts w:ascii="Times New Roman" w:eastAsia="Times New Roman" w:hAnsi="Times New Roman" w:cs="Times New Roman"/>
          <w:sz w:val="24"/>
          <w:szCs w:val="24"/>
          <w:lang w:val="en-US"/>
        </w:rPr>
      </w:pPr>
      <w:r>
        <w:rPr>
          <w:rFonts w:ascii="Times New Roman" w:eastAsia="Times New Roman" w:hAnsi="Times New Roman" w:cs="Times New Roman"/>
          <w:b/>
          <w:bCs/>
          <w:sz w:val="24"/>
          <w:szCs w:val="24"/>
          <w:lang w:val="en-US"/>
        </w:rPr>
        <w:t xml:space="preserve">Users </w:t>
      </w:r>
      <w:r w:rsidRPr="00B7478B">
        <w:rPr>
          <w:rFonts w:ascii="Times New Roman" w:eastAsia="Times New Roman" w:hAnsi="Times New Roman" w:cs="Times New Roman"/>
          <w:b/>
          <w:bCs/>
          <w:sz w:val="24"/>
          <w:szCs w:val="24"/>
          <w:lang w:val="en-US"/>
        </w:rPr>
        <w:t xml:space="preserve">Satisfaction </w:t>
      </w:r>
      <w:r>
        <w:rPr>
          <w:rFonts w:ascii="Times New Roman" w:eastAsia="Times New Roman" w:hAnsi="Times New Roman" w:cs="Times New Roman"/>
          <w:b/>
          <w:bCs/>
          <w:sz w:val="24"/>
          <w:szCs w:val="24"/>
          <w:lang w:val="en-US"/>
        </w:rPr>
        <w:t>and</w:t>
      </w:r>
      <w:r w:rsidRPr="00B7478B">
        <w:rPr>
          <w:rFonts w:ascii="Times New Roman" w:eastAsia="Times New Roman" w:hAnsi="Times New Roman" w:cs="Times New Roman"/>
          <w:b/>
          <w:bCs/>
          <w:sz w:val="24"/>
          <w:szCs w:val="24"/>
          <w:lang w:val="en-US"/>
        </w:rPr>
        <w:t xml:space="preserve"> Sustainable Intention to Use</w:t>
      </w:r>
      <w:r>
        <w:rPr>
          <w:rFonts w:ascii="Times New Roman" w:eastAsia="Times New Roman" w:hAnsi="Times New Roman" w:cs="Times New Roman"/>
          <w:b/>
          <w:bCs/>
          <w:sz w:val="24"/>
          <w:szCs w:val="24"/>
          <w:lang w:val="en-US"/>
        </w:rPr>
        <w:t>:</w:t>
      </w:r>
    </w:p>
    <w:p w:rsidR="00B7478B" w:rsidRPr="00B7478B" w:rsidRDefault="00B7478B" w:rsidP="004F6518">
      <w:pPr>
        <w:spacing w:before="100" w:beforeAutospacing="1" w:after="100" w:afterAutospacing="1" w:line="360" w:lineRule="auto"/>
        <w:jc w:val="both"/>
        <w:rPr>
          <w:rFonts w:ascii="Times New Roman" w:eastAsia="Times New Roman" w:hAnsi="Times New Roman" w:cs="Times New Roman"/>
          <w:sz w:val="24"/>
          <w:szCs w:val="24"/>
          <w:lang w:val="en-US"/>
        </w:rPr>
      </w:pPr>
      <w:r w:rsidRPr="00B7478B">
        <w:rPr>
          <w:rFonts w:ascii="Times New Roman" w:eastAsia="Times New Roman" w:hAnsi="Times New Roman" w:cs="Times New Roman"/>
          <w:sz w:val="24"/>
          <w:szCs w:val="24"/>
          <w:lang w:val="en-US"/>
        </w:rPr>
        <w:t xml:space="preserve">For elderly people in Bangladesh, satisfaction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is a key determinant of their intention to continue using these technologies over time. This hypothesis proposes that when elderly users are satisfied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their intention to use these services sustainably increases. This relationship is supported by Expectation-Confirmation Theory and the Technology Acceptance Model (TAM).</w:t>
      </w:r>
      <w:r>
        <w:rPr>
          <w:rFonts w:ascii="Times New Roman" w:eastAsia="Times New Roman" w:hAnsi="Times New Roman" w:cs="Times New Roman"/>
          <w:sz w:val="24"/>
          <w:szCs w:val="24"/>
          <w:lang w:val="en-US"/>
        </w:rPr>
        <w:t xml:space="preserve"> </w:t>
      </w:r>
      <w:r w:rsidRPr="00B7478B">
        <w:rPr>
          <w:rFonts w:ascii="Times New Roman" w:eastAsia="Times New Roman" w:hAnsi="Times New Roman" w:cs="Times New Roman"/>
          <w:sz w:val="24"/>
          <w:szCs w:val="24"/>
          <w:lang w:val="en-US"/>
        </w:rPr>
        <w:t xml:space="preserve">Expectation-Confirmation Theory (ECT) posits that user satisfaction is determined by how well a technology meets or exceeds users' expectations. For elderly users in Bangladesh, if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align with or surpass their expectations, their satisfaction will grow, leading to a stronger intention to continue using these services</w:t>
      </w:r>
      <w:r w:rsidR="00595485">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&lt;EndNote&gt;&lt;Cite&gt;&lt;Author&gt;Hassan&lt;/Author&gt;&lt;Year&gt;2022&lt;/Year&gt;&lt;RecNum&gt;931&lt;/RecNum&gt;&lt;DisplayText&gt;(Hassan et al., 2022)&lt;/DisplayText&gt;&lt;record&gt;&lt;rec-number&gt;931&lt;/rec-number&gt;&lt;foreign-keys&gt;&lt;key app="EN" db-id="a2rsvzpeof2293e9sebptwz9ezdwezd52ax5" timestamp="1729312491"&gt;931&lt;/key&gt;&lt;/foreign-keys&gt;&lt;ref-type name="Electronic Article"&gt;43&lt;/ref-type&gt;&lt;contributors&gt;&lt;authors&gt;&lt;author&gt;Hassan, Md S.&lt;/author&gt;&lt;author&gt;Islam, Md A.&lt;/author&gt;&lt;author&gt;Sobhani, Farid A.&lt;/author&gt;&lt;author&gt;Nasir, Hussen&lt;/author&gt;&lt;author&gt;Mahmud, Imroz&lt;/author&gt;&lt;author&gt;Zahra, Fatema T.&lt;/author&gt;&lt;/authors&gt;&lt;/contributors&gt;&lt;titles&gt;&lt;title&gt;Drivers Influencing the Adoption Intention towards Mobile Fintech Services: A Study on the Emerging Bangladesh Market&lt;/title&gt;&lt;secondary-title&gt;Information&lt;/secondary-title&gt;&lt;/titles&gt;&lt;periodical&gt;&lt;full-title&gt;Information&lt;/full-title&gt;&lt;/periodical&gt;&lt;volume&gt;13&lt;/volume&gt;&lt;number&gt;7&lt;/number&gt;&lt;keywords&gt;&lt;keyword&gt;mobile fintech services (MFS)&lt;/keyword&gt;&lt;keyword&gt;perceived trust&lt;/keyword&gt;&lt;keyword&gt;social influence&lt;/keyword&gt;&lt;keyword&gt;facilitating conditions&lt;/keyword&gt;&lt;keyword&gt;perceived benefit&lt;/keyword&gt;&lt;/keywords&gt;&lt;dates&gt;&lt;year&gt;2022&lt;/year&gt;&lt;/dates&gt;&lt;isbn&gt;2078-2489&lt;/isbn&gt;&lt;urls&gt;&lt;/urls&gt;&lt;electronic-resource-num&gt;10.3390/info13070349&lt;/electronic-resource-num&gt;&lt;/record&gt;&lt;/Cite&gt;&lt;/EndNote&gt;</w:instrText>
      </w:r>
      <w:r w:rsidR="00595485">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(Hassan et al., 2022)</w:t>
      </w:r>
      <w:r w:rsidR="00595485">
        <w:rPr>
          <w:rFonts w:ascii="Times New Roman" w:eastAsia="Times New Roman" w:hAnsi="Times New Roman" w:cs="Times New Roman"/>
          <w:sz w:val="24"/>
          <w:szCs w:val="24"/>
          <w:lang w:val="en-US"/>
        </w:rPr>
        <w:fldChar w:fldCharType="end"/>
      </w:r>
      <w:r w:rsidR="00595485">
        <w:rPr>
          <w:rFonts w:ascii="Times New Roman" w:eastAsia="Times New Roman" w:hAnsi="Times New Roman" w:cs="Times New Roman"/>
          <w:sz w:val="24"/>
          <w:szCs w:val="24"/>
          <w:lang w:val="en-US"/>
        </w:rPr>
        <w:t xml:space="preserve"> </w:t>
      </w:r>
      <w:r w:rsidRPr="00B7478B">
        <w:rPr>
          <w:rFonts w:ascii="Times New Roman" w:eastAsia="Times New Roman" w:hAnsi="Times New Roman" w:cs="Times New Roman"/>
          <w:sz w:val="24"/>
          <w:szCs w:val="24"/>
          <w:lang w:val="en-US"/>
        </w:rPr>
        <w:t>. The Technology Acceptance Model (TAM) complements this by suggesting that user satisfaction reinforces perceptions of a technology's usefulness and ease of use, which in turn enhances the intention to use the technology sustainably</w:t>
      </w:r>
      <w:r w:rsidR="000E15DD">
        <w:rPr>
          <w:rFonts w:ascii="Times New Roman" w:eastAsia="Times New Roman" w:hAnsi="Times New Roman" w:cs="Times New Roman"/>
          <w:sz w:val="24"/>
          <w:szCs w:val="24"/>
          <w:lang w:val="en-US"/>
        </w:rPr>
        <w:t xml:space="preserve"> </w:t>
      </w:r>
      <w:r w:rsidR="000E15D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&lt;EndNote&gt;&lt;Cite&gt;&lt;Author&gt;Yuen&lt;/Author&gt;&lt;Year&gt;2022&lt;/Year&gt;&lt;RecNum&gt;934&lt;/RecNum&gt;&lt;DisplayText&gt;(Yuen, Chua, Li, &amp;amp; Wang, 2022)&lt;/DisplayText&gt;&lt;record&gt;&lt;rec-number&gt;934&lt;/rec-number&gt;&lt;foreign-keys&gt;&lt;key app="EN" db-id="a2rsvzpeof2293e9sebptwz9ezdwezd52ax5" timestamp="1729314392"&gt;934&lt;/key&gt;&lt;/foreign-keys&gt;&lt;ref-type name="Journal Article"&gt;17&lt;/ref-type&gt;&lt;contributors&gt;&lt;authors&gt;&lt;author&gt;Yuen, Kum Fai&lt;/author&gt;&lt;author&gt;Chua, Jessana&lt;/author&gt;&lt;author&gt;Li, Kevin X.&lt;/author&gt;&lt;author&gt;Wang, Xueqin&lt;/author&gt;&lt;/authors&gt;&lt;/contributors&gt;&lt;titles&gt;&lt;title&gt;Consumer&amp;apos;s adoption of virtual reality technologies for marine conservation: Motivational and technology acceptance perspectives&lt;/title&gt;&lt;secondary-title&gt;Technological Forecasting and Social Change&lt;/secondary-title&gt;&lt;/titles&gt;&lt;periodical&gt;&lt;full-title&gt;Technological Forecasting and Social Change&lt;/full-title&gt;&lt;/periodical&gt;&lt;pages&gt;121891&lt;/pages&gt;&lt;volume&gt;182&lt;/volume&gt;&lt;keywords&gt;&lt;keyword&gt;Maslow&amp;apos;s hierarchy of needs&lt;/keyword&gt;&lt;keyword&gt;Technology acceptance model&lt;/keyword&gt;&lt;keyword&gt;Virtual reality&lt;/keyword&gt;&lt;keyword&gt;Marine ecotourism&lt;/keyword&gt;&lt;keyword&gt;COVID-19&lt;/keyword&gt;&lt;keyword&gt;Behavioural intention&lt;/keyword&gt;&lt;/keywords&gt;&lt;dates&gt;&lt;year&gt;2022&lt;/year&gt;&lt;pub-dates&gt;&lt;date&gt;2022/09/01/&lt;/date&gt;&lt;/pub-dates&gt;&lt;/dates&gt;&lt;isbn&gt;0040-1625&lt;/isbn&gt;&lt;urls&gt;&lt;related-urls&gt;&lt;url&gt;https://www.sciencedirect.com/science/article/pii/S0040162522004140&lt;/url&gt;&lt;/related-urls&gt;&lt;/urls&gt;&lt;electronic-resource-num&gt;https://doi.org/10.1016/j.techfore.2022.121891&lt;/electronic-resource-num&gt;&lt;/record&gt;&lt;/Cite&gt;&lt;/EndNote&gt;</w:instrText>
      </w:r>
      <w:r w:rsidR="000E15D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(Yuen, Chua, Li, &amp; Wang, 2022)</w:t>
      </w:r>
      <w:r w:rsidR="000E15DD">
        <w:rPr>
          <w:rFonts w:ascii="Times New Roman" w:eastAsia="Times New Roman" w:hAnsi="Times New Roman" w:cs="Times New Roman"/>
          <w:sz w:val="24"/>
          <w:szCs w:val="24"/>
          <w:lang w:val="en-US"/>
        </w:rPr>
        <w:fldChar w:fldCharType="end"/>
      </w:r>
      <w:r w:rsidRPr="00B7478B">
        <w:rPr>
          <w:rFonts w:ascii="Times New Roman" w:eastAsia="Times New Roman" w:hAnsi="Times New Roman" w:cs="Times New Roman"/>
          <w:sz w:val="24"/>
          <w:szCs w:val="24"/>
          <w:lang w:val="en-US"/>
        </w:rPr>
        <w:t>.</w:t>
      </w:r>
    </w:p>
    <w:p w:rsidR="00B7478B" w:rsidRDefault="00B7478B" w:rsidP="004F6518">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B7478B">
        <w:rPr>
          <w:rFonts w:ascii="Times New Roman" w:eastAsia="Times New Roman" w:hAnsi="Times New Roman" w:cs="Times New Roman"/>
          <w:sz w:val="24"/>
          <w:szCs w:val="24"/>
          <w:lang w:val="en-US"/>
        </w:rPr>
        <w:t xml:space="preserve">Research supports the positive link between satisfaction and the intention to continue using technology. </w:t>
      </w:r>
      <w:r w:rsidR="000E15DD">
        <w:rPr>
          <w:rFonts w:ascii="Times New Roman" w:eastAsia="Times New Roman" w:hAnsi="Times New Roman" w:cs="Times New Roman"/>
          <w:sz w:val="24"/>
          <w:szCs w:val="24"/>
          <w:lang w:val="en-US"/>
        </w:rPr>
        <w:t>Dr. Huang</w:t>
      </w:r>
      <w:r w:rsidRPr="00B7478B">
        <w:rPr>
          <w:rFonts w:ascii="Times New Roman" w:eastAsia="Times New Roman" w:hAnsi="Times New Roman" w:cs="Times New Roman"/>
          <w:sz w:val="24"/>
          <w:szCs w:val="24"/>
          <w:lang w:val="en-US"/>
        </w:rPr>
        <w:t xml:space="preserve"> found that user satisfaction significantly affects the intention to persist in using technology</w:t>
      </w:r>
      <w:r w:rsidR="000E15DD">
        <w:rPr>
          <w:rFonts w:ascii="Times New Roman" w:eastAsia="Times New Roman" w:hAnsi="Times New Roman" w:cs="Times New Roman"/>
          <w:sz w:val="24"/>
          <w:szCs w:val="24"/>
          <w:lang w:val="en-US"/>
        </w:rPr>
        <w:t xml:space="preserve"> </w:t>
      </w:r>
      <w:r w:rsidR="000E15D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&lt;EndNote&gt;&lt;Cite&gt;&lt;Author&gt;Huang&lt;/Author&gt;&lt;Year&gt;2021&lt;/Year&gt;&lt;RecNum&gt;935&lt;/RecNum&gt;&lt;DisplayText&gt;(Huang, Jin, &amp;amp; Coghlan, 2021)&lt;/DisplayText&gt;&lt;record&gt;&lt;rec-number&gt;935&lt;/rec-number&gt;&lt;foreign-keys&gt;&lt;key app="EN" db-id="a2rsvzpeof2293e9sebptwz9ezdwezd52ax5" timestamp="1729314462"&gt;935&lt;/key&gt;&lt;/foreign-keys&gt;&lt;ref-type name="Journal Article"&gt;17&lt;/ref-type&gt;&lt;contributors&gt;&lt;authors&gt;&lt;author&gt;Huang, Dan&lt;/author&gt;&lt;author&gt;Jin, Xin&lt;/author&gt;&lt;author&gt;Coghlan, Alexandra&lt;/author&gt;&lt;/authors&gt;&lt;/contributors&gt;&lt;titles&gt;&lt;title&gt;Advances in consumer innovation resistance research: A review and research agenda&lt;/title&gt;&lt;secondary-title&gt;Technological Forecasting and Social Change&lt;/secondary-title&gt;&lt;/titles&gt;&lt;periodical&gt;&lt;full-title&gt;Technological Forecasting and Social Change&lt;/full-title&gt;&lt;/periodical&gt;&lt;pages&gt;120594&lt;/pages&gt;&lt;volume&gt;166&lt;/volume&gt;&lt;keywords&gt;&lt;keyword&gt;Innovation resistance&lt;/keyword&gt;&lt;keyword&gt;Co-citation analysis&lt;/keyword&gt;&lt;keyword&gt;Content analysis&lt;/keyword&gt;&lt;keyword&gt;Consumer behavior&lt;/keyword&gt;&lt;keyword&gt;Literature review&lt;/keyword&gt;&lt;keyword&gt;Bibliometric method&lt;/keyword&gt;&lt;/keywords&gt;&lt;dates&gt;&lt;year&gt;2021&lt;/year&gt;&lt;pub-dates&gt;&lt;date&gt;2021/05/01/&lt;/date&gt;&lt;/pub-dates&gt;&lt;/dates&gt;&lt;isbn&gt;0040-1625&lt;/isbn&gt;&lt;urls&gt;&lt;related-urls&gt;&lt;url&gt;https://www.sciencedirect.com/science/article/pii/S0040162521000263&lt;/url&gt;&lt;/related-urls&gt;&lt;/urls&gt;&lt;electronic-resource-num&gt;https://doi.org/10.1016/j.techfore.2021.120594&lt;/electronic-resource-num&gt;&lt;/record&gt;&lt;/Cite&gt;&lt;/EndNote&gt;</w:instrText>
      </w:r>
      <w:r w:rsidR="000E15D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(Huang, Jin, &amp; Coghlan, 2021)</w:t>
      </w:r>
      <w:r w:rsidR="000E15DD">
        <w:rPr>
          <w:rFonts w:ascii="Times New Roman" w:eastAsia="Times New Roman" w:hAnsi="Times New Roman" w:cs="Times New Roman"/>
          <w:sz w:val="24"/>
          <w:szCs w:val="24"/>
          <w:lang w:val="en-US"/>
        </w:rPr>
        <w:fldChar w:fldCharType="end"/>
      </w:r>
      <w:r w:rsidRPr="00B7478B">
        <w:rPr>
          <w:rFonts w:ascii="Times New Roman" w:eastAsia="Times New Roman" w:hAnsi="Times New Roman" w:cs="Times New Roman"/>
          <w:sz w:val="24"/>
          <w:szCs w:val="24"/>
          <w:lang w:val="en-US"/>
        </w:rPr>
        <w:t xml:space="preserve">. In the context of elderly users in Bangladesh, where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adoption is crucial for enhancing financial inclusion, satisfied users are more likely to remain engaged and advocate for the technology. This is because they find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valuable and reliable</w:t>
      </w:r>
      <w:r w:rsidR="000E15DD">
        <w:rPr>
          <w:rFonts w:ascii="Times New Roman" w:eastAsia="Times New Roman" w:hAnsi="Times New Roman" w:cs="Times New Roman"/>
          <w:sz w:val="24"/>
          <w:szCs w:val="24"/>
          <w:lang w:val="en-US"/>
        </w:rPr>
        <w:t>. K. Wang (2017</w:t>
      </w:r>
      <w:r w:rsidRPr="00B7478B">
        <w:rPr>
          <w:rFonts w:ascii="Times New Roman" w:eastAsia="Times New Roman" w:hAnsi="Times New Roman" w:cs="Times New Roman"/>
          <w:sz w:val="24"/>
          <w:szCs w:val="24"/>
          <w:lang w:val="en-US"/>
        </w:rPr>
        <w:t>) emphasize that when users are content with a technology’s performance and its ability to meet their needs, their intention to continue using it is strengthened</w:t>
      </w:r>
      <w:r w:rsidR="000E15DD">
        <w:rPr>
          <w:rFonts w:ascii="Times New Roman" w:eastAsia="Times New Roman" w:hAnsi="Times New Roman" w:cs="Times New Roman"/>
          <w:sz w:val="24"/>
          <w:szCs w:val="24"/>
          <w:lang w:val="en-US"/>
        </w:rPr>
        <w:t xml:space="preserve"> </w:t>
      </w:r>
      <w:r w:rsidR="000E15DD">
        <w:rPr>
          <w:rFonts w:ascii="Times New Roman" w:eastAsia="Times New Roman" w:hAnsi="Times New Roman" w:cs="Times New Roman"/>
          <w:sz w:val="24"/>
          <w:szCs w:val="24"/>
          <w:lang w:val="en-US"/>
        </w:rPr>
        <w:fldChar w:fldCharType="begin"/>
      </w:r>
      <w:r w:rsidR="00906036">
        <w:rPr>
          <w:rFonts w:ascii="Times New Roman" w:eastAsia="Times New Roman" w:hAnsi="Times New Roman" w:cs="Times New Roman"/>
          <w:sz w:val="24"/>
          <w:szCs w:val="24"/>
          <w:lang w:val="en-US"/>
        </w:rPr>
        <w:instrText xml:space="preserve"> ADDIN EN.CITE &lt;EndNote&gt;&lt;Cite&gt;&lt;Author&gt;Wang&lt;/Author&gt;&lt;Year&gt;2012&lt;/Year&gt;&lt;RecNum&gt;936&lt;/RecNum&gt;&lt;DisplayText&gt;(Wang &amp;amp; Lin, 2012)&lt;/DisplayText&gt;&lt;record&gt;&lt;rec-number&gt;936&lt;/rec-number&gt;&lt;foreign-keys&gt;&lt;key app="EN" db-id="a2rsvzpeof2293e9sebptwz9ezdwezd52ax5" timestamp="1729314554"&gt;936&lt;/key&gt;&lt;/foreign-keys&gt;&lt;ref-type name="Journal Article"&gt;17&lt;/ref-type&gt;&lt;contributors&gt;&lt;authors&gt;&lt;author&gt;Wang, Kai&lt;/author&gt;&lt;author&gt;Lin, Chien‐Liang&lt;/author&gt;&lt;/authors&gt;&lt;/contributors&gt;&lt;titles&gt;&lt;title&gt;The adoption of mobile value‐added services&lt;/title&gt;&lt;secondary-title&gt;Managing Service Quality: An International Journal&lt;/secondary-title&gt;&lt;/titles&gt;&lt;periodical&gt;&lt;full-title&gt;Managing Service Quality: An International Journal&lt;/full-title&gt;&lt;/periodical&gt;&lt;pages&gt;184-208&lt;/pages&gt;&lt;volume&gt;22&lt;/volume&gt;&lt;number&gt;2&lt;/number&gt;&lt;dates&gt;&lt;year&gt;2012&lt;/year&gt;&lt;/dates&gt;&lt;publisher&gt;Emerald Group Publishing Limited&lt;/publisher&gt;&lt;isbn&gt;0960-4529&lt;/isbn&gt;&lt;urls&gt;&lt;related-urls&gt;&lt;url&gt;https://doi.org/10.1108/09604521211219007&lt;/url&gt;&lt;/related-urls&gt;&lt;/urls&gt;&lt;electronic-resource-num&gt;10.1108/09604521211219007&lt;/electronic-resource-num&gt;&lt;access-date&gt;2024/10/19&lt;/access-date&gt;&lt;/record&gt;&lt;/Cite&gt;&lt;/EndNote&gt;</w:instrText>
      </w:r>
      <w:r w:rsidR="000E15DD">
        <w:rPr>
          <w:rFonts w:ascii="Times New Roman" w:eastAsia="Times New Roman" w:hAnsi="Times New Roman" w:cs="Times New Roman"/>
          <w:sz w:val="24"/>
          <w:szCs w:val="24"/>
          <w:lang w:val="en-US"/>
        </w:rPr>
        <w:fldChar w:fldCharType="separate"/>
      </w:r>
      <w:r w:rsidR="00906036">
        <w:rPr>
          <w:rFonts w:ascii="Times New Roman" w:eastAsia="Times New Roman" w:hAnsi="Times New Roman" w:cs="Times New Roman"/>
          <w:noProof/>
          <w:sz w:val="24"/>
          <w:szCs w:val="24"/>
          <w:lang w:val="en-US"/>
        </w:rPr>
        <w:t>(Wang &amp; Lin, 2012)</w:t>
      </w:r>
      <w:r w:rsidR="000E15DD">
        <w:rPr>
          <w:rFonts w:ascii="Times New Roman" w:eastAsia="Times New Roman" w:hAnsi="Times New Roman" w:cs="Times New Roman"/>
          <w:sz w:val="24"/>
          <w:szCs w:val="24"/>
          <w:lang w:val="en-US"/>
        </w:rPr>
        <w:fldChar w:fldCharType="end"/>
      </w:r>
      <w:r w:rsidRPr="00B7478B">
        <w:rPr>
          <w:rFonts w:ascii="Times New Roman" w:eastAsia="Times New Roman" w:hAnsi="Times New Roman" w:cs="Times New Roman"/>
          <w:sz w:val="24"/>
          <w:szCs w:val="24"/>
          <w:lang w:val="en-US"/>
        </w:rPr>
        <w:t xml:space="preserve">. For elderly users in Bangladesh, this means that if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effectively address their financial needs and are easy to use, their intention to keep using these services will increase. This sustained usage is essential for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’s success and broader adoption among elderly populations.</w:t>
      </w:r>
      <w:r>
        <w:rPr>
          <w:rFonts w:ascii="Times New Roman" w:eastAsia="Times New Roman" w:hAnsi="Times New Roman" w:cs="Times New Roman"/>
          <w:sz w:val="24"/>
          <w:szCs w:val="24"/>
          <w:lang w:val="en-US"/>
        </w:rPr>
        <w:t xml:space="preserve"> </w:t>
      </w:r>
      <w:r w:rsidRPr="00B7478B">
        <w:rPr>
          <w:rFonts w:ascii="Times New Roman" w:eastAsia="Times New Roman" w:hAnsi="Times New Roman" w:cs="Times New Roman"/>
          <w:sz w:val="24"/>
          <w:szCs w:val="24"/>
          <w:lang w:val="en-US"/>
        </w:rPr>
        <w:t xml:space="preserve">In summary, satisfaction significantly influences the sustainable intention to use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among elderly people in Bangladesh. When these users are satisfied with the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 their intention to continue using and advocating for these technologies is enhanced. Supported by Expectation-Confirmation Theory and TAM, this relationship underscores the importance of meeting the specific needs and expectations of elderly users to ensure long-term engagement with </w:t>
      </w:r>
      <w:r w:rsidR="005D6E88">
        <w:rPr>
          <w:rFonts w:ascii="Times New Roman" w:eastAsia="Times New Roman" w:hAnsi="Times New Roman" w:cs="Times New Roman"/>
          <w:sz w:val="24"/>
          <w:szCs w:val="24"/>
          <w:lang w:val="en-US"/>
        </w:rPr>
        <w:t>Fintech</w:t>
      </w:r>
      <w:r w:rsidRPr="00B7478B">
        <w:rPr>
          <w:rFonts w:ascii="Times New Roman" w:eastAsia="Times New Roman" w:hAnsi="Times New Roman" w:cs="Times New Roman"/>
          <w:sz w:val="24"/>
          <w:szCs w:val="24"/>
          <w:lang w:val="en-US"/>
        </w:rPr>
        <w:t xml:space="preserve"> services.</w:t>
      </w:r>
    </w:p>
    <w:p w:rsidR="00D2103F" w:rsidRDefault="006B04A7" w:rsidP="00D2103F">
      <w:pPr>
        <w:spacing w:before="100" w:beforeAutospacing="1" w:after="100" w:afterAutospacing="1" w:line="360" w:lineRule="auto"/>
        <w:jc w:val="both"/>
        <w:rPr>
          <w:rFonts w:ascii="Times New Roman" w:eastAsia="Times New Roman" w:hAnsi="Times New Roman" w:cs="Times New Roman"/>
          <w:i/>
          <w:sz w:val="24"/>
          <w:szCs w:val="24"/>
          <w:lang w:val="en-US"/>
        </w:rPr>
      </w:pPr>
      <w:r>
        <w:rPr>
          <w:rFonts w:ascii="Times New Roman" w:eastAsia="Times New Roman" w:hAnsi="Times New Roman" w:cs="Times New Roman"/>
          <w:b/>
          <w:i/>
          <w:sz w:val="24"/>
          <w:szCs w:val="24"/>
          <w:lang w:val="en-US"/>
        </w:rPr>
        <w:t>Hypothesis 6</w:t>
      </w:r>
      <w:r w:rsidR="00D2103F" w:rsidRPr="00D54AC4">
        <w:rPr>
          <w:rFonts w:ascii="Times New Roman" w:eastAsia="Times New Roman" w:hAnsi="Times New Roman" w:cs="Times New Roman"/>
          <w:b/>
          <w:i/>
          <w:sz w:val="24"/>
          <w:szCs w:val="24"/>
          <w:lang w:val="en-US"/>
        </w:rPr>
        <w:t>:</w:t>
      </w:r>
      <w:r w:rsidR="00D2103F" w:rsidRPr="00D54AC4">
        <w:rPr>
          <w:rFonts w:ascii="Times New Roman" w:eastAsia="Times New Roman" w:hAnsi="Times New Roman" w:cs="Times New Roman"/>
          <w:i/>
          <w:sz w:val="24"/>
          <w:szCs w:val="24"/>
          <w:lang w:val="en-US"/>
        </w:rPr>
        <w:t xml:space="preserve"> Satisfaction Positively Influences Sustainable Intention to Use</w:t>
      </w:r>
    </w:p>
    <w:p w:rsidR="003D2E21" w:rsidRDefault="003D2E21" w:rsidP="00D2103F">
      <w:pPr>
        <w:spacing w:before="100" w:beforeAutospacing="1" w:after="100" w:afterAutospacing="1" w:line="360" w:lineRule="auto"/>
        <w:jc w:val="both"/>
        <w:rPr>
          <w:rFonts w:ascii="Times New Roman" w:eastAsia="Times New Roman" w:hAnsi="Times New Roman" w:cs="Times New Roman"/>
          <w:i/>
          <w:sz w:val="24"/>
          <w:szCs w:val="24"/>
          <w:lang w:val="en-US"/>
        </w:rPr>
      </w:pPr>
    </w:p>
    <w:p w:rsidR="00E26B27" w:rsidRPr="00E26B27" w:rsidRDefault="00E26B27" w:rsidP="00017CEC">
      <w:pPr>
        <w:spacing w:before="100" w:beforeAutospacing="1" w:after="100" w:afterAutospacing="1" w:line="240" w:lineRule="auto"/>
        <w:jc w:val="center"/>
        <w:rPr>
          <w:rFonts w:ascii="Times New Roman" w:eastAsia="Times New Roman" w:hAnsi="Times New Roman" w:cs="Times New Roman"/>
          <w:sz w:val="24"/>
          <w:szCs w:val="24"/>
          <w:lang w:val="en-US"/>
        </w:rPr>
      </w:pPr>
      <w:r w:rsidRPr="00E26B27">
        <w:rPr>
          <w:rFonts w:ascii="Times New Roman" w:eastAsia="Times New Roman" w:hAnsi="Times New Roman" w:cs="Times New Roman"/>
          <w:noProof/>
          <w:sz w:val="24"/>
          <w:szCs w:val="24"/>
          <w:lang w:val="en-US"/>
        </w:rPr>
        <w:drawing>
          <wp:inline distT="0" distB="0" distL="0" distR="0">
            <wp:extent cx="6057900" cy="3116580"/>
            <wp:effectExtent l="0" t="0" r="0" b="7620"/>
            <wp:docPr id="1" name="Picture 1" descr="C:\Users\mh241\Downloads\Nazmul_S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h241\Downloads\Nazmul_Si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9275" cy="3148155"/>
                    </a:xfrm>
                    <a:prstGeom prst="rect">
                      <a:avLst/>
                    </a:prstGeom>
                    <a:noFill/>
                    <a:ln>
                      <a:noFill/>
                    </a:ln>
                  </pic:spPr>
                </pic:pic>
              </a:graphicData>
            </a:graphic>
          </wp:inline>
        </w:drawing>
      </w:r>
    </w:p>
    <w:p w:rsidR="009B17B5" w:rsidRPr="00D2103F" w:rsidRDefault="009B17B5" w:rsidP="00D2103F">
      <w:pPr>
        <w:spacing w:before="100" w:beforeAutospacing="1" w:after="100" w:afterAutospacing="1" w:line="360" w:lineRule="auto"/>
        <w:jc w:val="both"/>
        <w:rPr>
          <w:rFonts w:ascii="Times New Roman" w:eastAsia="Times New Roman" w:hAnsi="Times New Roman" w:cs="Times New Roman"/>
          <w:sz w:val="24"/>
          <w:szCs w:val="24"/>
          <w:lang w:val="en-US"/>
        </w:rPr>
      </w:pPr>
    </w:p>
    <w:p w:rsidR="003D2E21" w:rsidRPr="00635094" w:rsidRDefault="00172AD9" w:rsidP="00635094">
      <w:pPr>
        <w:spacing w:before="100" w:beforeAutospacing="1" w:after="100" w:afterAutospacing="1" w:line="36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Figure </w:t>
      </w:r>
      <w:r w:rsidR="00635094" w:rsidRPr="00635094">
        <w:rPr>
          <w:rFonts w:ascii="Times New Roman" w:eastAsia="Times New Roman" w:hAnsi="Times New Roman" w:cs="Times New Roman"/>
          <w:b/>
          <w:sz w:val="24"/>
          <w:szCs w:val="24"/>
          <w:lang w:val="en-US"/>
        </w:rPr>
        <w:t>1</w:t>
      </w:r>
      <w:r>
        <w:rPr>
          <w:rFonts w:ascii="Times New Roman" w:eastAsia="Times New Roman" w:hAnsi="Times New Roman" w:cs="Times New Roman"/>
          <w:b/>
          <w:sz w:val="24"/>
          <w:szCs w:val="24"/>
          <w:lang w:val="en-US"/>
        </w:rPr>
        <w:t>:</w:t>
      </w:r>
      <w:r w:rsidR="00635094" w:rsidRPr="00635094">
        <w:rPr>
          <w:rFonts w:ascii="Times New Roman" w:eastAsia="Times New Roman" w:hAnsi="Times New Roman" w:cs="Times New Roman"/>
          <w:b/>
          <w:sz w:val="24"/>
          <w:szCs w:val="24"/>
          <w:lang w:val="en-US"/>
        </w:rPr>
        <w:t xml:space="preserve"> Conceptual Framework</w:t>
      </w:r>
    </w:p>
    <w:p w:rsidR="00724894" w:rsidRPr="00F96FC1" w:rsidRDefault="00724894" w:rsidP="00724894">
      <w:pPr>
        <w:pStyle w:val="NormalWeb"/>
        <w:spacing w:line="360" w:lineRule="auto"/>
        <w:jc w:val="both"/>
        <w:rPr>
          <w:b/>
          <w:sz w:val="28"/>
          <w:szCs w:val="28"/>
        </w:rPr>
      </w:pPr>
      <w:r w:rsidRPr="00F96FC1">
        <w:rPr>
          <w:b/>
          <w:sz w:val="28"/>
          <w:szCs w:val="28"/>
        </w:rPr>
        <w:t>Methodology:</w:t>
      </w:r>
    </w:p>
    <w:p w:rsidR="00724894" w:rsidRDefault="00724894" w:rsidP="00724894">
      <w:pPr>
        <w:pStyle w:val="NormalWeb"/>
        <w:spacing w:line="360" w:lineRule="auto"/>
        <w:jc w:val="both"/>
      </w:pPr>
      <w:r>
        <w:t xml:space="preserve">This study utilized a cross-sectional, quantitative approach, focusing on the users of mobile </w:t>
      </w:r>
      <w:r w:rsidR="005D6E88">
        <w:t>Fintech</w:t>
      </w:r>
      <w:r>
        <w:t xml:space="preserve"> services among the elderly population in Dhaka city. The data collection process involved purposive sampling, with a deductive approach guiding the research. The framework for the study was based on the Technology Acceptance Model (TAM), and a questionnaire was developed accordingly to gather respondents' insights. The research followed an explanatory design, aiming to reveal new insights into the adoption intentions of mobile </w:t>
      </w:r>
      <w:r w:rsidR="005D6E88">
        <w:t>Fintech</w:t>
      </w:r>
      <w:r>
        <w:t xml:space="preserve"> services in Bangladesh.</w:t>
      </w:r>
    </w:p>
    <w:p w:rsidR="00724894" w:rsidRPr="00724894" w:rsidRDefault="00724894" w:rsidP="00724894">
      <w:pPr>
        <w:rPr>
          <w:rFonts w:ascii="Times New Roman" w:hAnsi="Times New Roman" w:cs="Times New Roman"/>
          <w:b/>
          <w:sz w:val="24"/>
          <w:szCs w:val="24"/>
        </w:rPr>
      </w:pPr>
      <w:r w:rsidRPr="00724894">
        <w:rPr>
          <w:rFonts w:ascii="Times New Roman" w:hAnsi="Times New Roman" w:cs="Times New Roman"/>
          <w:b/>
          <w:sz w:val="24"/>
          <w:szCs w:val="24"/>
        </w:rPr>
        <w:t>Data Collection</w:t>
      </w:r>
      <w:r>
        <w:rPr>
          <w:rFonts w:ascii="Times New Roman" w:hAnsi="Times New Roman" w:cs="Times New Roman"/>
          <w:b/>
          <w:sz w:val="24"/>
          <w:szCs w:val="24"/>
        </w:rPr>
        <w:t xml:space="preserve"> and Sampling: </w:t>
      </w:r>
    </w:p>
    <w:p w:rsidR="00724894" w:rsidRDefault="00724894" w:rsidP="00724894">
      <w:pPr>
        <w:pStyle w:val="NormalWeb"/>
        <w:spacing w:line="360" w:lineRule="auto"/>
        <w:jc w:val="both"/>
      </w:pPr>
      <w:r>
        <w:t>The questionnaire included constructs measuring users' perceptions of Service Confirmation, Perceived ease of use, Perceived usefulness, Trust, User experiences and sustainable intention to us</w:t>
      </w:r>
      <w:r w:rsidR="00072F67">
        <w:t xml:space="preserve">e </w:t>
      </w:r>
      <w:r w:rsidR="005D6E88">
        <w:t>Fintech</w:t>
      </w:r>
      <w:r>
        <w:t>. Basic demographic information was also gathered. The measurement scales were adapted from previous studies on technology adoption</w:t>
      </w:r>
      <w:r w:rsidR="00072F67">
        <w:t xml:space="preserve"> among elderly people</w:t>
      </w:r>
      <w:r>
        <w:t xml:space="preserve">. Constructs like </w:t>
      </w:r>
      <w:r w:rsidR="00072F67">
        <w:t>Service confirmation, perceived ease of use and usefulness</w:t>
      </w:r>
      <w:r>
        <w:t xml:space="preserve"> were adapted from prior research, while those related to </w:t>
      </w:r>
      <w:r w:rsidR="00072F67">
        <w:t xml:space="preserve">sustainable intention to use </w:t>
      </w:r>
      <w:r w:rsidR="005D6E88">
        <w:t>Fintech</w:t>
      </w:r>
      <w:r>
        <w:t xml:space="preserve"> from the</w:t>
      </w:r>
      <w:r w:rsidR="00072F67">
        <w:t xml:space="preserve"> sustainable technology</w:t>
      </w:r>
      <w:r>
        <w:t xml:space="preserve"> adoption literature. The responses were evaluated using a seven-point Likert scale, ranging from "strongly di</w:t>
      </w:r>
      <w:r w:rsidR="005D5356">
        <w:t>sagree" to "strongly agree"</w:t>
      </w:r>
      <w:r>
        <w:t>.</w:t>
      </w:r>
    </w:p>
    <w:p w:rsidR="00397994" w:rsidRPr="000A19A4" w:rsidRDefault="00397994" w:rsidP="00F263A6">
      <w:pPr>
        <w:spacing w:line="360" w:lineRule="auto"/>
        <w:ind w:firstLine="720"/>
        <w:jc w:val="both"/>
        <w:rPr>
          <w:rFonts w:ascii="Times New Roman" w:hAnsi="Times New Roman"/>
          <w:sz w:val="24"/>
          <w:szCs w:val="24"/>
        </w:rPr>
      </w:pPr>
      <w:r w:rsidRPr="00026216">
        <w:rPr>
          <w:rFonts w:ascii="Times New Roman" w:hAnsi="Times New Roman"/>
          <w:b/>
          <w:sz w:val="24"/>
          <w:szCs w:val="24"/>
        </w:rPr>
        <w:t>Table 1</w:t>
      </w:r>
      <w:r w:rsidRPr="00026216">
        <w:rPr>
          <w:rFonts w:ascii="Times New Roman" w:hAnsi="Times New Roman"/>
          <w:sz w:val="24"/>
          <w:szCs w:val="24"/>
        </w:rPr>
        <w:t xml:space="preserve"> provides the respondents' profile.</w:t>
      </w:r>
      <w:r>
        <w:rPr>
          <w:rFonts w:ascii="Times New Roman" w:hAnsi="Times New Roman"/>
          <w:sz w:val="24"/>
          <w:szCs w:val="24"/>
        </w:rPr>
        <w:t xml:space="preserve"> </w:t>
      </w:r>
      <w:r w:rsidRPr="000A19A4">
        <w:rPr>
          <w:rFonts w:ascii="Times New Roman" w:hAnsi="Times New Roman"/>
          <w:sz w:val="24"/>
          <w:szCs w:val="24"/>
        </w:rPr>
        <w:t>The chart reveals key demographic insights into e-learning users. Males constitute 66%, while females are 34%. Age-wise, most users are 26-30 years old (45%), followed by 20-25 (38%) and 30-35 (17%). The majority are enrolled in Bachelor's programs (65%), with Master's (26%) and PhD (9%) students also represented. Experience with e-learning varies, with 39% having 1-3 years, 33% over 3 years, and 28% under 1 year. This data indicates that young adult males, particularly undergraduates, predominantly use e-learning, with increasing familiarity over time. This can help tailor services to their needs.</w:t>
      </w:r>
    </w:p>
    <w:p w:rsidR="00397994" w:rsidRPr="00D00FEA" w:rsidRDefault="00397994" w:rsidP="00397994">
      <w:pPr>
        <w:pStyle w:val="Caption"/>
        <w:jc w:val="center"/>
        <w:rPr>
          <w:rFonts w:ascii="Times New Roman" w:hAnsi="Times New Roman"/>
          <w:b/>
          <w:i w:val="0"/>
          <w:iCs w:val="0"/>
          <w:color w:val="000000"/>
          <w:sz w:val="24"/>
          <w:szCs w:val="24"/>
        </w:rPr>
      </w:pPr>
      <w:bookmarkStart w:id="1" w:name="_Ref78063011"/>
      <w:r w:rsidRPr="00D00FEA">
        <w:rPr>
          <w:rFonts w:ascii="Times New Roman" w:hAnsi="Times New Roman"/>
          <w:b/>
          <w:i w:val="0"/>
          <w:iCs w:val="0"/>
          <w:color w:val="000000"/>
          <w:sz w:val="24"/>
          <w:szCs w:val="24"/>
        </w:rPr>
        <w:t xml:space="preserve">Table </w:t>
      </w:r>
      <w:r w:rsidRPr="00D00FEA">
        <w:rPr>
          <w:rFonts w:ascii="Times New Roman" w:hAnsi="Times New Roman"/>
          <w:b/>
          <w:i w:val="0"/>
          <w:iCs w:val="0"/>
          <w:color w:val="000000"/>
          <w:sz w:val="24"/>
          <w:szCs w:val="24"/>
        </w:rPr>
        <w:fldChar w:fldCharType="begin"/>
      </w:r>
      <w:r w:rsidRPr="00D00FEA">
        <w:rPr>
          <w:rFonts w:ascii="Times New Roman" w:hAnsi="Times New Roman"/>
          <w:b/>
          <w:i w:val="0"/>
          <w:iCs w:val="0"/>
          <w:color w:val="000000"/>
          <w:sz w:val="24"/>
          <w:szCs w:val="24"/>
        </w:rPr>
        <w:instrText xml:space="preserve"> SEQ Table \* ARABIC </w:instrText>
      </w:r>
      <w:r w:rsidRPr="00D00FEA">
        <w:rPr>
          <w:rFonts w:ascii="Times New Roman" w:hAnsi="Times New Roman"/>
          <w:b/>
          <w:i w:val="0"/>
          <w:iCs w:val="0"/>
          <w:color w:val="000000"/>
          <w:sz w:val="24"/>
          <w:szCs w:val="24"/>
        </w:rPr>
        <w:fldChar w:fldCharType="separate"/>
      </w:r>
      <w:r w:rsidRPr="00D00FEA">
        <w:rPr>
          <w:rFonts w:ascii="Times New Roman" w:hAnsi="Times New Roman"/>
          <w:b/>
          <w:i w:val="0"/>
          <w:iCs w:val="0"/>
          <w:color w:val="000000"/>
          <w:sz w:val="24"/>
          <w:szCs w:val="24"/>
        </w:rPr>
        <w:t>1</w:t>
      </w:r>
      <w:r w:rsidRPr="00D00FEA">
        <w:rPr>
          <w:rFonts w:ascii="Times New Roman" w:hAnsi="Times New Roman"/>
          <w:b/>
          <w:i w:val="0"/>
          <w:iCs w:val="0"/>
          <w:color w:val="000000"/>
          <w:sz w:val="24"/>
          <w:szCs w:val="24"/>
        </w:rPr>
        <w:fldChar w:fldCharType="end"/>
      </w:r>
      <w:bookmarkEnd w:id="1"/>
      <w:r w:rsidRPr="00D00FEA">
        <w:rPr>
          <w:rFonts w:ascii="Times New Roman" w:hAnsi="Times New Roman"/>
          <w:b/>
          <w:i w:val="0"/>
          <w:iCs w:val="0"/>
          <w:color w:val="000000"/>
          <w:sz w:val="24"/>
          <w:szCs w:val="24"/>
        </w:rPr>
        <w:t>. Demographic Information of the Sample</w:t>
      </w:r>
    </w:p>
    <w:tbl>
      <w:tblPr>
        <w:tblStyle w:val="TableGrid1"/>
        <w:tblpPr w:leftFromText="187" w:rightFromText="187" w:vertAnchor="text" w:horzAnchor="margin" w:tblpX="50" w:tblpY="1"/>
        <w:tblW w:w="5000" w:type="pct"/>
        <w:tblLayout w:type="fixed"/>
        <w:tblLook w:val="04A0" w:firstRow="1" w:lastRow="0" w:firstColumn="1" w:lastColumn="0" w:noHBand="0" w:noVBand="1"/>
      </w:tblPr>
      <w:tblGrid>
        <w:gridCol w:w="2016"/>
        <w:gridCol w:w="2501"/>
        <w:gridCol w:w="2250"/>
        <w:gridCol w:w="2249"/>
      </w:tblGrid>
      <w:tr w:rsidR="00397994" w:rsidRPr="00176EEA" w:rsidTr="00172AD9">
        <w:trPr>
          <w:trHeight w:val="259"/>
        </w:trPr>
        <w:tc>
          <w:tcPr>
            <w:tcW w:w="1118" w:type="pct"/>
            <w:noWrap/>
            <w:hideMark/>
          </w:tcPr>
          <w:p w:rsidR="00397994" w:rsidRPr="00F07493" w:rsidRDefault="00397994" w:rsidP="00713219">
            <w:pPr>
              <w:ind w:left="180"/>
              <w:rPr>
                <w:rFonts w:ascii="Times New Roman" w:hAnsi="Times New Roman"/>
                <w:b/>
                <w:bCs/>
                <w:color w:val="000000"/>
                <w:sz w:val="24"/>
                <w:szCs w:val="24"/>
              </w:rPr>
            </w:pPr>
            <w:r w:rsidRPr="00F07493">
              <w:rPr>
                <w:rFonts w:ascii="Times New Roman" w:hAnsi="Times New Roman"/>
                <w:b/>
                <w:bCs/>
                <w:color w:val="000000"/>
                <w:sz w:val="24"/>
                <w:szCs w:val="24"/>
              </w:rPr>
              <w:t>Item</w:t>
            </w:r>
          </w:p>
        </w:tc>
        <w:tc>
          <w:tcPr>
            <w:tcW w:w="1387" w:type="pct"/>
            <w:noWrap/>
            <w:hideMark/>
          </w:tcPr>
          <w:p w:rsidR="00397994" w:rsidRPr="00F07493" w:rsidRDefault="00397994" w:rsidP="00713219">
            <w:pPr>
              <w:ind w:left="195"/>
              <w:rPr>
                <w:rFonts w:ascii="Times New Roman" w:hAnsi="Times New Roman"/>
                <w:b/>
                <w:bCs/>
                <w:color w:val="000000"/>
                <w:sz w:val="24"/>
                <w:szCs w:val="24"/>
              </w:rPr>
            </w:pPr>
            <w:r w:rsidRPr="00F07493">
              <w:rPr>
                <w:rFonts w:ascii="Times New Roman" w:hAnsi="Times New Roman"/>
                <w:b/>
                <w:bCs/>
                <w:color w:val="000000"/>
                <w:sz w:val="24"/>
                <w:szCs w:val="24"/>
              </w:rPr>
              <w:t>Characteristics</w:t>
            </w:r>
          </w:p>
        </w:tc>
        <w:tc>
          <w:tcPr>
            <w:tcW w:w="1248" w:type="pct"/>
          </w:tcPr>
          <w:p w:rsidR="00397994" w:rsidRPr="00F07493" w:rsidRDefault="00397994" w:rsidP="00713219">
            <w:pPr>
              <w:jc w:val="center"/>
              <w:rPr>
                <w:rFonts w:ascii="Times New Roman" w:hAnsi="Times New Roman"/>
                <w:b/>
                <w:bCs/>
                <w:color w:val="000000"/>
                <w:sz w:val="24"/>
                <w:szCs w:val="24"/>
              </w:rPr>
            </w:pPr>
            <w:r>
              <w:rPr>
                <w:rFonts w:ascii="Times New Roman" w:hAnsi="Times New Roman"/>
                <w:b/>
                <w:bCs/>
                <w:color w:val="000000"/>
                <w:sz w:val="24"/>
                <w:szCs w:val="24"/>
              </w:rPr>
              <w:t>Frequency</w:t>
            </w:r>
          </w:p>
        </w:tc>
        <w:tc>
          <w:tcPr>
            <w:tcW w:w="1247" w:type="pct"/>
            <w:noWrap/>
            <w:hideMark/>
          </w:tcPr>
          <w:p w:rsidR="00397994" w:rsidRPr="00F07493" w:rsidRDefault="00397994" w:rsidP="00713219">
            <w:pPr>
              <w:jc w:val="center"/>
              <w:rPr>
                <w:rFonts w:ascii="Times New Roman" w:hAnsi="Times New Roman"/>
                <w:b/>
                <w:bCs/>
                <w:color w:val="000000"/>
                <w:sz w:val="24"/>
                <w:szCs w:val="24"/>
              </w:rPr>
            </w:pPr>
            <w:r w:rsidRPr="00F07493">
              <w:rPr>
                <w:rFonts w:ascii="Times New Roman" w:hAnsi="Times New Roman"/>
                <w:b/>
                <w:bCs/>
                <w:color w:val="000000"/>
                <w:sz w:val="24"/>
                <w:szCs w:val="24"/>
              </w:rPr>
              <w:t>Percentage (%)</w:t>
            </w:r>
          </w:p>
        </w:tc>
      </w:tr>
      <w:tr w:rsidR="00397994" w:rsidRPr="00176EEA" w:rsidTr="00172AD9">
        <w:trPr>
          <w:trHeight w:val="259"/>
        </w:trPr>
        <w:tc>
          <w:tcPr>
            <w:tcW w:w="1118" w:type="pct"/>
            <w:vMerge w:val="restart"/>
            <w:noWrap/>
          </w:tcPr>
          <w:p w:rsidR="00397994" w:rsidRPr="00F07493" w:rsidRDefault="00397994" w:rsidP="00713219">
            <w:pPr>
              <w:ind w:left="180"/>
              <w:rPr>
                <w:rFonts w:ascii="Times New Roman" w:hAnsi="Times New Roman"/>
                <w:b/>
                <w:bCs/>
                <w:color w:val="000000"/>
                <w:sz w:val="24"/>
                <w:szCs w:val="24"/>
              </w:rPr>
            </w:pPr>
            <w:r>
              <w:rPr>
                <w:rFonts w:ascii="Times New Roman" w:hAnsi="Times New Roman"/>
                <w:b/>
                <w:bCs/>
                <w:color w:val="000000"/>
                <w:sz w:val="24"/>
                <w:szCs w:val="24"/>
              </w:rPr>
              <w:t>Gender</w:t>
            </w:r>
          </w:p>
        </w:tc>
        <w:tc>
          <w:tcPr>
            <w:tcW w:w="1387" w:type="pct"/>
            <w:noWrap/>
          </w:tcPr>
          <w:p w:rsidR="00397994" w:rsidRPr="00F07493" w:rsidRDefault="00397994" w:rsidP="00713219">
            <w:pPr>
              <w:ind w:left="195"/>
              <w:rPr>
                <w:rFonts w:ascii="Times New Roman" w:hAnsi="Times New Roman"/>
                <w:color w:val="000000"/>
                <w:sz w:val="24"/>
                <w:szCs w:val="24"/>
              </w:rPr>
            </w:pPr>
            <w:r>
              <w:rPr>
                <w:rFonts w:ascii="Times New Roman" w:hAnsi="Times New Roman"/>
                <w:color w:val="000000"/>
                <w:sz w:val="24"/>
                <w:szCs w:val="24"/>
              </w:rPr>
              <w:t>Male</w:t>
            </w:r>
          </w:p>
        </w:tc>
        <w:tc>
          <w:tcPr>
            <w:tcW w:w="1248" w:type="pct"/>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205</w:t>
            </w:r>
          </w:p>
        </w:tc>
        <w:tc>
          <w:tcPr>
            <w:tcW w:w="1247" w:type="pct"/>
            <w:noWrap/>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66%</w:t>
            </w:r>
          </w:p>
        </w:tc>
      </w:tr>
      <w:tr w:rsidR="00397994" w:rsidRPr="00176EEA" w:rsidTr="00172AD9">
        <w:trPr>
          <w:trHeight w:val="259"/>
        </w:trPr>
        <w:tc>
          <w:tcPr>
            <w:tcW w:w="1118" w:type="pct"/>
            <w:vMerge/>
            <w:noWrap/>
          </w:tcPr>
          <w:p w:rsidR="00397994" w:rsidRPr="00F07493" w:rsidRDefault="00397994" w:rsidP="00713219">
            <w:pPr>
              <w:ind w:left="180"/>
              <w:rPr>
                <w:rFonts w:ascii="Times New Roman" w:hAnsi="Times New Roman" w:cs="Arial"/>
                <w:b/>
                <w:bCs/>
                <w:color w:val="000000"/>
                <w:sz w:val="24"/>
                <w:szCs w:val="24"/>
              </w:rPr>
            </w:pPr>
          </w:p>
        </w:tc>
        <w:tc>
          <w:tcPr>
            <w:tcW w:w="1387" w:type="pct"/>
            <w:noWrap/>
          </w:tcPr>
          <w:p w:rsidR="00397994" w:rsidRPr="00F07493" w:rsidRDefault="00397994" w:rsidP="00713219">
            <w:pPr>
              <w:ind w:left="195"/>
              <w:rPr>
                <w:rFonts w:ascii="Times New Roman" w:hAnsi="Times New Roman"/>
                <w:color w:val="000000"/>
                <w:sz w:val="24"/>
                <w:szCs w:val="24"/>
              </w:rPr>
            </w:pPr>
            <w:r>
              <w:rPr>
                <w:rFonts w:ascii="Times New Roman" w:hAnsi="Times New Roman"/>
                <w:color w:val="000000"/>
                <w:sz w:val="24"/>
                <w:szCs w:val="24"/>
              </w:rPr>
              <w:t>Female</w:t>
            </w:r>
          </w:p>
        </w:tc>
        <w:tc>
          <w:tcPr>
            <w:tcW w:w="1248" w:type="pct"/>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106</w:t>
            </w:r>
          </w:p>
        </w:tc>
        <w:tc>
          <w:tcPr>
            <w:tcW w:w="1247" w:type="pct"/>
            <w:noWrap/>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34%</w:t>
            </w:r>
          </w:p>
        </w:tc>
      </w:tr>
      <w:tr w:rsidR="00397994" w:rsidRPr="00176EEA" w:rsidTr="00172AD9">
        <w:trPr>
          <w:trHeight w:val="259"/>
        </w:trPr>
        <w:tc>
          <w:tcPr>
            <w:tcW w:w="1118" w:type="pct"/>
            <w:vMerge w:val="restart"/>
          </w:tcPr>
          <w:p w:rsidR="00397994" w:rsidRPr="00F07493" w:rsidRDefault="00397994" w:rsidP="00713219">
            <w:pPr>
              <w:ind w:left="180"/>
              <w:rPr>
                <w:rFonts w:ascii="Times New Roman" w:hAnsi="Times New Roman" w:cs="Arial"/>
                <w:b/>
                <w:bCs/>
                <w:color w:val="000000"/>
                <w:sz w:val="24"/>
                <w:szCs w:val="24"/>
              </w:rPr>
            </w:pPr>
            <w:r>
              <w:rPr>
                <w:rFonts w:ascii="Times New Roman" w:hAnsi="Times New Roman" w:cs="Arial"/>
                <w:b/>
                <w:bCs/>
                <w:color w:val="000000"/>
                <w:sz w:val="24"/>
                <w:szCs w:val="24"/>
              </w:rPr>
              <w:t>Age</w:t>
            </w:r>
          </w:p>
        </w:tc>
        <w:tc>
          <w:tcPr>
            <w:tcW w:w="1387" w:type="pct"/>
            <w:noWrap/>
          </w:tcPr>
          <w:p w:rsidR="00397994" w:rsidRPr="00F07493" w:rsidRDefault="00072F67" w:rsidP="00072F67">
            <w:pPr>
              <w:ind w:left="195"/>
              <w:rPr>
                <w:rFonts w:ascii="Times New Roman" w:hAnsi="Times New Roman" w:cs="Arial"/>
                <w:color w:val="000000"/>
                <w:sz w:val="24"/>
                <w:szCs w:val="24"/>
              </w:rPr>
            </w:pPr>
            <w:r>
              <w:rPr>
                <w:rFonts w:ascii="Times New Roman" w:hAnsi="Times New Roman" w:cs="Arial"/>
                <w:color w:val="000000"/>
                <w:sz w:val="24"/>
                <w:szCs w:val="24"/>
              </w:rPr>
              <w:t>50-60</w:t>
            </w:r>
          </w:p>
        </w:tc>
        <w:tc>
          <w:tcPr>
            <w:tcW w:w="1248" w:type="pct"/>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118</w:t>
            </w:r>
          </w:p>
        </w:tc>
        <w:tc>
          <w:tcPr>
            <w:tcW w:w="1247" w:type="pct"/>
            <w:noWrap/>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38%</w:t>
            </w:r>
          </w:p>
        </w:tc>
      </w:tr>
      <w:tr w:rsidR="00397994" w:rsidRPr="00176EEA" w:rsidTr="00172AD9">
        <w:trPr>
          <w:trHeight w:val="259"/>
        </w:trPr>
        <w:tc>
          <w:tcPr>
            <w:tcW w:w="1118" w:type="pct"/>
            <w:vMerge/>
          </w:tcPr>
          <w:p w:rsidR="00397994" w:rsidRPr="00F07493" w:rsidRDefault="00397994" w:rsidP="00713219">
            <w:pPr>
              <w:ind w:left="180"/>
              <w:rPr>
                <w:rFonts w:ascii="Times New Roman" w:hAnsi="Times New Roman" w:cs="Arial"/>
                <w:b/>
                <w:bCs/>
                <w:color w:val="000000"/>
                <w:sz w:val="24"/>
                <w:szCs w:val="24"/>
              </w:rPr>
            </w:pPr>
          </w:p>
        </w:tc>
        <w:tc>
          <w:tcPr>
            <w:tcW w:w="1387" w:type="pct"/>
            <w:noWrap/>
          </w:tcPr>
          <w:p w:rsidR="00397994" w:rsidRPr="00F07493" w:rsidRDefault="00072F67" w:rsidP="00713219">
            <w:pPr>
              <w:ind w:left="195"/>
              <w:rPr>
                <w:rFonts w:ascii="Times New Roman" w:hAnsi="Times New Roman" w:cs="Arial"/>
                <w:color w:val="000000"/>
                <w:sz w:val="24"/>
                <w:szCs w:val="24"/>
              </w:rPr>
            </w:pPr>
            <w:r>
              <w:rPr>
                <w:rFonts w:ascii="Times New Roman" w:hAnsi="Times New Roman" w:cs="Arial"/>
                <w:color w:val="000000"/>
                <w:sz w:val="24"/>
                <w:szCs w:val="24"/>
              </w:rPr>
              <w:t>61-70</w:t>
            </w:r>
          </w:p>
        </w:tc>
        <w:tc>
          <w:tcPr>
            <w:tcW w:w="1248" w:type="pct"/>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140</w:t>
            </w:r>
          </w:p>
        </w:tc>
        <w:tc>
          <w:tcPr>
            <w:tcW w:w="1247" w:type="pct"/>
            <w:noWrap/>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45%</w:t>
            </w:r>
          </w:p>
        </w:tc>
      </w:tr>
      <w:tr w:rsidR="00397994" w:rsidRPr="00176EEA" w:rsidTr="00172AD9">
        <w:trPr>
          <w:trHeight w:val="259"/>
        </w:trPr>
        <w:tc>
          <w:tcPr>
            <w:tcW w:w="1118" w:type="pct"/>
            <w:vMerge/>
          </w:tcPr>
          <w:p w:rsidR="00397994" w:rsidRPr="00F07493" w:rsidRDefault="00397994" w:rsidP="00713219">
            <w:pPr>
              <w:ind w:left="180"/>
              <w:rPr>
                <w:rFonts w:ascii="Times New Roman" w:hAnsi="Times New Roman" w:cs="Arial"/>
                <w:b/>
                <w:bCs/>
                <w:color w:val="000000"/>
                <w:sz w:val="24"/>
                <w:szCs w:val="24"/>
              </w:rPr>
            </w:pPr>
          </w:p>
        </w:tc>
        <w:tc>
          <w:tcPr>
            <w:tcW w:w="1387" w:type="pct"/>
            <w:noWrap/>
          </w:tcPr>
          <w:p w:rsidR="00397994" w:rsidRPr="00F07493" w:rsidRDefault="00072F67" w:rsidP="00713219">
            <w:pPr>
              <w:ind w:left="195"/>
              <w:rPr>
                <w:rFonts w:ascii="Times New Roman" w:hAnsi="Times New Roman" w:cs="Arial"/>
                <w:color w:val="000000"/>
                <w:sz w:val="24"/>
                <w:szCs w:val="24"/>
              </w:rPr>
            </w:pPr>
            <w:r>
              <w:rPr>
                <w:rFonts w:ascii="Times New Roman" w:hAnsi="Times New Roman" w:cs="Arial"/>
                <w:color w:val="000000"/>
                <w:sz w:val="24"/>
                <w:szCs w:val="24"/>
              </w:rPr>
              <w:t>71-80</w:t>
            </w:r>
          </w:p>
        </w:tc>
        <w:tc>
          <w:tcPr>
            <w:tcW w:w="1248" w:type="pct"/>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53</w:t>
            </w:r>
          </w:p>
        </w:tc>
        <w:tc>
          <w:tcPr>
            <w:tcW w:w="1247" w:type="pct"/>
            <w:noWrap/>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17%</w:t>
            </w:r>
          </w:p>
        </w:tc>
      </w:tr>
      <w:tr w:rsidR="00397994" w:rsidRPr="00176EEA" w:rsidTr="00172AD9">
        <w:trPr>
          <w:trHeight w:val="259"/>
        </w:trPr>
        <w:tc>
          <w:tcPr>
            <w:tcW w:w="1118" w:type="pct"/>
            <w:vMerge w:val="restart"/>
          </w:tcPr>
          <w:p w:rsidR="00397994" w:rsidRPr="00F07493" w:rsidRDefault="005D5356" w:rsidP="00713219">
            <w:pPr>
              <w:ind w:left="180"/>
              <w:rPr>
                <w:rFonts w:ascii="Times New Roman" w:hAnsi="Times New Roman"/>
                <w:b/>
                <w:bCs/>
                <w:color w:val="000000"/>
                <w:sz w:val="24"/>
                <w:szCs w:val="24"/>
              </w:rPr>
            </w:pPr>
            <w:r>
              <w:rPr>
                <w:rFonts w:ascii="Times New Roman" w:hAnsi="Times New Roman"/>
                <w:b/>
                <w:bCs/>
                <w:color w:val="000000"/>
                <w:sz w:val="24"/>
                <w:szCs w:val="24"/>
              </w:rPr>
              <w:t>Education</w:t>
            </w:r>
          </w:p>
        </w:tc>
        <w:tc>
          <w:tcPr>
            <w:tcW w:w="1387" w:type="pct"/>
            <w:noWrap/>
          </w:tcPr>
          <w:p w:rsidR="00397994" w:rsidRPr="00F07493" w:rsidRDefault="00397994" w:rsidP="00713219">
            <w:pPr>
              <w:ind w:left="195"/>
              <w:rPr>
                <w:rFonts w:ascii="Times New Roman" w:hAnsi="Times New Roman" w:cs="Arial"/>
                <w:color w:val="000000"/>
                <w:sz w:val="24"/>
                <w:szCs w:val="24"/>
              </w:rPr>
            </w:pPr>
            <w:r>
              <w:rPr>
                <w:rFonts w:ascii="Times New Roman" w:hAnsi="Times New Roman" w:cs="Arial"/>
                <w:color w:val="000000"/>
                <w:sz w:val="24"/>
                <w:szCs w:val="24"/>
              </w:rPr>
              <w:t>Bachelor</w:t>
            </w:r>
          </w:p>
        </w:tc>
        <w:tc>
          <w:tcPr>
            <w:tcW w:w="1248" w:type="pct"/>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202</w:t>
            </w:r>
          </w:p>
        </w:tc>
        <w:tc>
          <w:tcPr>
            <w:tcW w:w="1247" w:type="pct"/>
            <w:noWrap/>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65</w:t>
            </w:r>
          </w:p>
        </w:tc>
      </w:tr>
      <w:tr w:rsidR="00397994" w:rsidRPr="00176EEA" w:rsidTr="00172AD9">
        <w:trPr>
          <w:trHeight w:val="230"/>
        </w:trPr>
        <w:tc>
          <w:tcPr>
            <w:tcW w:w="1118" w:type="pct"/>
            <w:vMerge/>
          </w:tcPr>
          <w:p w:rsidR="00397994" w:rsidRPr="00F07493" w:rsidRDefault="00397994" w:rsidP="00713219">
            <w:pPr>
              <w:ind w:left="180"/>
              <w:rPr>
                <w:rFonts w:ascii="Times New Roman" w:hAnsi="Times New Roman"/>
                <w:b/>
                <w:bCs/>
                <w:color w:val="000000"/>
                <w:sz w:val="24"/>
                <w:szCs w:val="24"/>
              </w:rPr>
            </w:pPr>
          </w:p>
        </w:tc>
        <w:tc>
          <w:tcPr>
            <w:tcW w:w="1387" w:type="pct"/>
            <w:noWrap/>
          </w:tcPr>
          <w:p w:rsidR="00397994" w:rsidRPr="00F07493" w:rsidRDefault="00397994" w:rsidP="00713219">
            <w:pPr>
              <w:ind w:left="195"/>
              <w:rPr>
                <w:rFonts w:ascii="Times New Roman" w:hAnsi="Times New Roman" w:cs="Arial"/>
                <w:color w:val="000000"/>
                <w:sz w:val="24"/>
                <w:szCs w:val="24"/>
              </w:rPr>
            </w:pPr>
            <w:r>
              <w:rPr>
                <w:rFonts w:ascii="Times New Roman" w:hAnsi="Times New Roman" w:cs="Arial"/>
                <w:color w:val="000000"/>
                <w:sz w:val="24"/>
                <w:szCs w:val="24"/>
              </w:rPr>
              <w:t>Masters</w:t>
            </w:r>
          </w:p>
        </w:tc>
        <w:tc>
          <w:tcPr>
            <w:tcW w:w="1248" w:type="pct"/>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81</w:t>
            </w:r>
          </w:p>
        </w:tc>
        <w:tc>
          <w:tcPr>
            <w:tcW w:w="1247" w:type="pct"/>
            <w:noWrap/>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26</w:t>
            </w:r>
          </w:p>
        </w:tc>
      </w:tr>
      <w:tr w:rsidR="00397994" w:rsidRPr="00176EEA" w:rsidTr="00172AD9">
        <w:trPr>
          <w:trHeight w:val="70"/>
        </w:trPr>
        <w:tc>
          <w:tcPr>
            <w:tcW w:w="1118" w:type="pct"/>
            <w:vMerge/>
          </w:tcPr>
          <w:p w:rsidR="00397994" w:rsidRPr="00F07493" w:rsidRDefault="00397994" w:rsidP="00713219">
            <w:pPr>
              <w:ind w:left="180"/>
              <w:rPr>
                <w:rFonts w:ascii="Times New Roman" w:hAnsi="Times New Roman"/>
                <w:b/>
                <w:bCs/>
                <w:color w:val="000000"/>
                <w:sz w:val="24"/>
                <w:szCs w:val="24"/>
              </w:rPr>
            </w:pPr>
          </w:p>
        </w:tc>
        <w:tc>
          <w:tcPr>
            <w:tcW w:w="1387" w:type="pct"/>
            <w:noWrap/>
          </w:tcPr>
          <w:p w:rsidR="00397994" w:rsidRPr="00F07493" w:rsidRDefault="00397994" w:rsidP="00713219">
            <w:pPr>
              <w:ind w:left="195"/>
              <w:rPr>
                <w:rFonts w:ascii="Times New Roman" w:hAnsi="Times New Roman" w:cs="Arial"/>
                <w:color w:val="000000"/>
                <w:sz w:val="24"/>
                <w:szCs w:val="24"/>
              </w:rPr>
            </w:pPr>
            <w:r>
              <w:rPr>
                <w:rFonts w:ascii="Times New Roman" w:hAnsi="Times New Roman" w:cs="Arial"/>
                <w:color w:val="000000"/>
                <w:sz w:val="24"/>
                <w:szCs w:val="24"/>
              </w:rPr>
              <w:t>PhD</w:t>
            </w:r>
          </w:p>
        </w:tc>
        <w:tc>
          <w:tcPr>
            <w:tcW w:w="1248" w:type="pct"/>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28</w:t>
            </w:r>
          </w:p>
        </w:tc>
        <w:tc>
          <w:tcPr>
            <w:tcW w:w="1247" w:type="pct"/>
            <w:noWrap/>
          </w:tcPr>
          <w:p w:rsidR="00397994" w:rsidRPr="00F07493" w:rsidRDefault="00397994" w:rsidP="00713219">
            <w:pPr>
              <w:ind w:left="195"/>
              <w:jc w:val="center"/>
              <w:rPr>
                <w:rFonts w:ascii="Times New Roman" w:hAnsi="Times New Roman"/>
                <w:color w:val="000000"/>
                <w:sz w:val="24"/>
                <w:szCs w:val="24"/>
              </w:rPr>
            </w:pPr>
            <w:r>
              <w:rPr>
                <w:rFonts w:ascii="Times New Roman" w:hAnsi="Times New Roman"/>
                <w:color w:val="000000"/>
                <w:sz w:val="24"/>
                <w:szCs w:val="24"/>
              </w:rPr>
              <w:t>9</w:t>
            </w:r>
          </w:p>
        </w:tc>
      </w:tr>
      <w:tr w:rsidR="00397994" w:rsidRPr="00176EEA" w:rsidTr="00172AD9">
        <w:trPr>
          <w:trHeight w:val="259"/>
        </w:trPr>
        <w:tc>
          <w:tcPr>
            <w:tcW w:w="1118" w:type="pct"/>
            <w:vMerge w:val="restart"/>
            <w:noWrap/>
          </w:tcPr>
          <w:p w:rsidR="00397994" w:rsidRPr="00F07493" w:rsidRDefault="00397994" w:rsidP="00713219">
            <w:pPr>
              <w:ind w:left="180"/>
              <w:rPr>
                <w:rFonts w:ascii="Times New Roman" w:hAnsi="Times New Roman"/>
                <w:b/>
                <w:bCs/>
                <w:color w:val="000000"/>
                <w:sz w:val="24"/>
                <w:szCs w:val="24"/>
              </w:rPr>
            </w:pPr>
            <w:r>
              <w:rPr>
                <w:rFonts w:ascii="Times New Roman" w:hAnsi="Times New Roman"/>
                <w:b/>
                <w:bCs/>
                <w:color w:val="000000"/>
                <w:sz w:val="24"/>
                <w:szCs w:val="24"/>
              </w:rPr>
              <w:t>Experience using the e-learning system</w:t>
            </w:r>
          </w:p>
        </w:tc>
        <w:tc>
          <w:tcPr>
            <w:tcW w:w="1387" w:type="pct"/>
            <w:noWrap/>
          </w:tcPr>
          <w:p w:rsidR="00397994" w:rsidRPr="00F07493" w:rsidRDefault="00397994" w:rsidP="00713219">
            <w:pPr>
              <w:ind w:left="195"/>
              <w:rPr>
                <w:rFonts w:ascii="Times New Roman" w:hAnsi="Times New Roman" w:cs="Arial"/>
                <w:color w:val="000000"/>
                <w:sz w:val="24"/>
                <w:szCs w:val="24"/>
              </w:rPr>
            </w:pPr>
            <w:r>
              <w:rPr>
                <w:rFonts w:ascii="Times New Roman" w:hAnsi="Times New Roman" w:cs="Arial"/>
                <w:color w:val="000000"/>
                <w:sz w:val="24"/>
                <w:szCs w:val="24"/>
              </w:rPr>
              <w:t>Below 1 year</w:t>
            </w:r>
          </w:p>
        </w:tc>
        <w:tc>
          <w:tcPr>
            <w:tcW w:w="1248" w:type="pct"/>
          </w:tcPr>
          <w:p w:rsidR="00397994" w:rsidRPr="00F07493" w:rsidRDefault="00397994" w:rsidP="00713219">
            <w:pPr>
              <w:ind w:left="195"/>
              <w:jc w:val="center"/>
              <w:rPr>
                <w:rFonts w:ascii="Times New Roman" w:hAnsi="Times New Roman" w:cs="Arial"/>
                <w:color w:val="000000"/>
                <w:sz w:val="24"/>
                <w:szCs w:val="24"/>
              </w:rPr>
            </w:pPr>
            <w:r>
              <w:rPr>
                <w:rFonts w:ascii="Times New Roman" w:hAnsi="Times New Roman" w:cs="Arial"/>
                <w:color w:val="000000"/>
                <w:sz w:val="24"/>
                <w:szCs w:val="24"/>
              </w:rPr>
              <w:t>88</w:t>
            </w:r>
          </w:p>
        </w:tc>
        <w:tc>
          <w:tcPr>
            <w:tcW w:w="1247" w:type="pct"/>
            <w:noWrap/>
          </w:tcPr>
          <w:p w:rsidR="00397994" w:rsidRPr="00F07493" w:rsidRDefault="00397994" w:rsidP="00713219">
            <w:pPr>
              <w:ind w:left="195"/>
              <w:jc w:val="center"/>
              <w:rPr>
                <w:rFonts w:ascii="Times New Roman" w:hAnsi="Times New Roman" w:cs="Arial"/>
                <w:color w:val="000000"/>
                <w:sz w:val="24"/>
                <w:szCs w:val="24"/>
              </w:rPr>
            </w:pPr>
            <w:r>
              <w:rPr>
                <w:rFonts w:ascii="Times New Roman" w:hAnsi="Times New Roman" w:cs="Arial"/>
                <w:color w:val="000000"/>
                <w:sz w:val="24"/>
                <w:szCs w:val="24"/>
              </w:rPr>
              <w:t>28</w:t>
            </w:r>
          </w:p>
        </w:tc>
      </w:tr>
      <w:tr w:rsidR="00397994" w:rsidRPr="00176EEA" w:rsidTr="00172AD9">
        <w:trPr>
          <w:trHeight w:val="259"/>
        </w:trPr>
        <w:tc>
          <w:tcPr>
            <w:tcW w:w="1118" w:type="pct"/>
            <w:vMerge/>
            <w:noWrap/>
          </w:tcPr>
          <w:p w:rsidR="00397994" w:rsidRPr="00F07493" w:rsidRDefault="00397994" w:rsidP="00713219">
            <w:pPr>
              <w:ind w:left="180"/>
              <w:rPr>
                <w:rFonts w:ascii="Times New Roman" w:hAnsi="Times New Roman"/>
                <w:b/>
                <w:bCs/>
                <w:color w:val="000000"/>
                <w:sz w:val="24"/>
                <w:szCs w:val="24"/>
              </w:rPr>
            </w:pPr>
          </w:p>
        </w:tc>
        <w:tc>
          <w:tcPr>
            <w:tcW w:w="1387" w:type="pct"/>
            <w:noWrap/>
          </w:tcPr>
          <w:p w:rsidR="00397994" w:rsidRPr="00F07493" w:rsidRDefault="00397994" w:rsidP="00713219">
            <w:pPr>
              <w:ind w:left="195"/>
              <w:rPr>
                <w:rFonts w:ascii="Times New Roman" w:hAnsi="Times New Roman" w:cs="Arial"/>
                <w:color w:val="000000"/>
                <w:sz w:val="24"/>
                <w:szCs w:val="24"/>
              </w:rPr>
            </w:pPr>
            <w:r>
              <w:rPr>
                <w:rFonts w:ascii="Times New Roman" w:hAnsi="Times New Roman" w:cs="Arial"/>
                <w:color w:val="000000"/>
                <w:sz w:val="24"/>
                <w:szCs w:val="24"/>
              </w:rPr>
              <w:t>1-3 year</w:t>
            </w:r>
          </w:p>
        </w:tc>
        <w:tc>
          <w:tcPr>
            <w:tcW w:w="1248" w:type="pct"/>
          </w:tcPr>
          <w:p w:rsidR="00397994" w:rsidRPr="00F07493" w:rsidRDefault="00397994" w:rsidP="00713219">
            <w:pPr>
              <w:ind w:left="195"/>
              <w:jc w:val="center"/>
              <w:rPr>
                <w:rFonts w:ascii="Times New Roman" w:hAnsi="Times New Roman" w:cs="Arial"/>
                <w:color w:val="000000"/>
                <w:sz w:val="24"/>
                <w:szCs w:val="24"/>
              </w:rPr>
            </w:pPr>
            <w:r>
              <w:rPr>
                <w:rFonts w:ascii="Times New Roman" w:hAnsi="Times New Roman" w:cs="Arial"/>
                <w:color w:val="000000"/>
                <w:sz w:val="24"/>
                <w:szCs w:val="24"/>
              </w:rPr>
              <w:t>121</w:t>
            </w:r>
          </w:p>
        </w:tc>
        <w:tc>
          <w:tcPr>
            <w:tcW w:w="1247" w:type="pct"/>
            <w:noWrap/>
          </w:tcPr>
          <w:p w:rsidR="00397994" w:rsidRPr="00F07493" w:rsidRDefault="00397994" w:rsidP="00713219">
            <w:pPr>
              <w:ind w:left="195"/>
              <w:jc w:val="center"/>
              <w:rPr>
                <w:rFonts w:ascii="Times New Roman" w:hAnsi="Times New Roman" w:cs="Arial"/>
                <w:color w:val="000000"/>
                <w:sz w:val="24"/>
                <w:szCs w:val="24"/>
              </w:rPr>
            </w:pPr>
            <w:r>
              <w:rPr>
                <w:rFonts w:ascii="Times New Roman" w:hAnsi="Times New Roman" w:cs="Arial"/>
                <w:color w:val="000000"/>
                <w:sz w:val="24"/>
                <w:szCs w:val="24"/>
              </w:rPr>
              <w:t>39</w:t>
            </w:r>
          </w:p>
        </w:tc>
      </w:tr>
      <w:tr w:rsidR="00397994" w:rsidRPr="00176EEA" w:rsidTr="00172AD9">
        <w:trPr>
          <w:trHeight w:val="259"/>
        </w:trPr>
        <w:tc>
          <w:tcPr>
            <w:tcW w:w="1118" w:type="pct"/>
            <w:vMerge/>
            <w:noWrap/>
          </w:tcPr>
          <w:p w:rsidR="00397994" w:rsidRPr="00F07493" w:rsidRDefault="00397994" w:rsidP="00713219">
            <w:pPr>
              <w:ind w:left="180"/>
              <w:rPr>
                <w:rFonts w:ascii="Times New Roman" w:hAnsi="Times New Roman"/>
                <w:b/>
                <w:bCs/>
                <w:color w:val="000000"/>
                <w:sz w:val="24"/>
                <w:szCs w:val="24"/>
              </w:rPr>
            </w:pPr>
          </w:p>
        </w:tc>
        <w:tc>
          <w:tcPr>
            <w:tcW w:w="1387" w:type="pct"/>
            <w:noWrap/>
          </w:tcPr>
          <w:p w:rsidR="00397994" w:rsidRPr="00F07493" w:rsidRDefault="00397994" w:rsidP="00713219">
            <w:pPr>
              <w:ind w:left="195"/>
              <w:rPr>
                <w:rFonts w:ascii="Times New Roman" w:hAnsi="Times New Roman" w:cs="Arial"/>
                <w:color w:val="000000"/>
                <w:sz w:val="24"/>
                <w:szCs w:val="24"/>
              </w:rPr>
            </w:pPr>
            <w:r>
              <w:rPr>
                <w:rFonts w:ascii="Times New Roman" w:hAnsi="Times New Roman" w:cs="Arial"/>
                <w:color w:val="000000"/>
                <w:sz w:val="24"/>
                <w:szCs w:val="24"/>
              </w:rPr>
              <w:t>Above 3 year</w:t>
            </w:r>
          </w:p>
        </w:tc>
        <w:tc>
          <w:tcPr>
            <w:tcW w:w="1248" w:type="pct"/>
          </w:tcPr>
          <w:p w:rsidR="00397994" w:rsidRPr="00F07493" w:rsidRDefault="00397994" w:rsidP="00713219">
            <w:pPr>
              <w:ind w:left="195"/>
              <w:jc w:val="center"/>
              <w:rPr>
                <w:rFonts w:ascii="Times New Roman" w:hAnsi="Times New Roman" w:cs="Arial"/>
                <w:color w:val="000000"/>
                <w:sz w:val="24"/>
                <w:szCs w:val="24"/>
              </w:rPr>
            </w:pPr>
            <w:r>
              <w:rPr>
                <w:rFonts w:ascii="Times New Roman" w:hAnsi="Times New Roman" w:cs="Arial"/>
                <w:color w:val="000000"/>
                <w:sz w:val="24"/>
                <w:szCs w:val="24"/>
              </w:rPr>
              <w:t>102</w:t>
            </w:r>
          </w:p>
        </w:tc>
        <w:tc>
          <w:tcPr>
            <w:tcW w:w="1247" w:type="pct"/>
            <w:noWrap/>
          </w:tcPr>
          <w:p w:rsidR="00397994" w:rsidRPr="00F07493" w:rsidRDefault="00397994" w:rsidP="00713219">
            <w:pPr>
              <w:ind w:left="195"/>
              <w:jc w:val="center"/>
              <w:rPr>
                <w:rFonts w:ascii="Times New Roman" w:hAnsi="Times New Roman" w:cs="Arial"/>
                <w:color w:val="000000"/>
                <w:sz w:val="24"/>
                <w:szCs w:val="24"/>
              </w:rPr>
            </w:pPr>
            <w:r>
              <w:rPr>
                <w:rFonts w:ascii="Times New Roman" w:hAnsi="Times New Roman" w:cs="Arial"/>
                <w:color w:val="000000"/>
                <w:sz w:val="24"/>
                <w:szCs w:val="24"/>
              </w:rPr>
              <w:t>33</w:t>
            </w:r>
          </w:p>
        </w:tc>
      </w:tr>
    </w:tbl>
    <w:p w:rsidR="00397994" w:rsidRDefault="00397994" w:rsidP="00D2103F">
      <w:pPr>
        <w:spacing w:before="100" w:beforeAutospacing="1" w:after="100" w:afterAutospacing="1" w:line="360" w:lineRule="auto"/>
        <w:jc w:val="both"/>
        <w:rPr>
          <w:rFonts w:ascii="Times New Roman" w:eastAsia="Times New Roman" w:hAnsi="Times New Roman" w:cs="Times New Roman"/>
          <w:sz w:val="24"/>
          <w:szCs w:val="24"/>
          <w:lang w:val="en-US"/>
        </w:rPr>
      </w:pPr>
    </w:p>
    <w:p w:rsidR="00397994" w:rsidRPr="00397994" w:rsidRDefault="00397994" w:rsidP="00397994">
      <w:pPr>
        <w:spacing w:line="360" w:lineRule="auto"/>
        <w:jc w:val="both"/>
        <w:rPr>
          <w:rFonts w:ascii="Times New Roman" w:hAnsi="Times New Roman"/>
          <w:b/>
          <w:sz w:val="24"/>
          <w:szCs w:val="24"/>
        </w:rPr>
      </w:pPr>
      <w:r w:rsidRPr="00397994">
        <w:rPr>
          <w:rFonts w:ascii="Times New Roman" w:hAnsi="Times New Roman"/>
          <w:b/>
          <w:sz w:val="24"/>
          <w:szCs w:val="24"/>
        </w:rPr>
        <w:t>Instrument Development:</w:t>
      </w:r>
    </w:p>
    <w:p w:rsidR="00397994" w:rsidRDefault="00397994" w:rsidP="00397994">
      <w:pPr>
        <w:spacing w:line="360" w:lineRule="auto"/>
        <w:jc w:val="both"/>
        <w:rPr>
          <w:rFonts w:ascii="Times New Roman" w:hAnsi="Times New Roman"/>
          <w:sz w:val="24"/>
          <w:szCs w:val="24"/>
        </w:rPr>
      </w:pPr>
      <w:r w:rsidRPr="0010227B">
        <w:rPr>
          <w:rFonts w:ascii="Times New Roman" w:hAnsi="Times New Roman"/>
          <w:sz w:val="24"/>
          <w:szCs w:val="24"/>
        </w:rPr>
        <w:t>The data collection involved a web-based questionnaire survey with two main sections. The first section gathered demographic information, while the second measured nine proposed constructs in the research model. Each construct was assessed using multiple items sourced from related literature (Appendix A) and rated on a 5-point Likert scale ranging from 1 (strongly agree) to 5 (strongly disagree). Prior to the final data collection, the questionnaire's validity and appropriateness were evaluated through two procedures. First, an expert academic panel of four IS field specialists assessed the measurement items, resulting in a 90.5% agreement. The panel's suggestions to improve reliability and readability were incorporated. Second, a pilot study with 60 students tested the reliability of the ten constructs, revealing adequate internal consistency, as each construct's Cronbach's alpha exceeded 0.7.</w:t>
      </w:r>
    </w:p>
    <w:p w:rsidR="00ED0815" w:rsidRDefault="00ED0815" w:rsidP="00ED0815">
      <w:pPr>
        <w:spacing w:before="100" w:beforeAutospacing="1" w:after="0" w:line="360" w:lineRule="auto"/>
        <w:jc w:val="both"/>
        <w:rPr>
          <w:rFonts w:ascii="Times New Roman" w:hAnsi="Times New Roman" w:cs="Times New Roman"/>
          <w:b/>
          <w:sz w:val="24"/>
          <w:szCs w:val="24"/>
        </w:rPr>
      </w:pPr>
      <w:r w:rsidRPr="00ED0815">
        <w:rPr>
          <w:rFonts w:ascii="Times New Roman" w:hAnsi="Times New Roman" w:cs="Times New Roman"/>
          <w:b/>
          <w:sz w:val="24"/>
          <w:szCs w:val="24"/>
        </w:rPr>
        <w:t>Data Analysis:</w:t>
      </w:r>
    </w:p>
    <w:p w:rsidR="00AB4A80" w:rsidRPr="00ED0815" w:rsidRDefault="00ED0815" w:rsidP="00ED0815">
      <w:pPr>
        <w:spacing w:before="100" w:beforeAutospacing="1" w:after="0" w:line="360" w:lineRule="auto"/>
        <w:jc w:val="both"/>
        <w:rPr>
          <w:rFonts w:ascii="Times New Roman" w:hAnsi="Times New Roman" w:cs="Times New Roman"/>
          <w:b/>
          <w:sz w:val="24"/>
          <w:szCs w:val="24"/>
        </w:rPr>
      </w:pPr>
      <w:r w:rsidRPr="00ED0815">
        <w:rPr>
          <w:rFonts w:ascii="Times New Roman" w:hAnsi="Times New Roman" w:cs="Times New Roman"/>
          <w:sz w:val="24"/>
          <w:szCs w:val="24"/>
        </w:rPr>
        <w:t xml:space="preserve">For data analysis, structural equation </w:t>
      </w:r>
      <w:proofErr w:type="spellStart"/>
      <w:r w:rsidRPr="00ED0815">
        <w:rPr>
          <w:rFonts w:ascii="Times New Roman" w:hAnsi="Times New Roman" w:cs="Times New Roman"/>
          <w:sz w:val="24"/>
          <w:szCs w:val="24"/>
        </w:rPr>
        <w:t>modeling</w:t>
      </w:r>
      <w:proofErr w:type="spellEnd"/>
      <w:r w:rsidRPr="00ED0815">
        <w:rPr>
          <w:rFonts w:ascii="Times New Roman" w:hAnsi="Times New Roman" w:cs="Times New Roman"/>
          <w:sz w:val="24"/>
          <w:szCs w:val="24"/>
        </w:rPr>
        <w:t xml:space="preserve"> (SEM) was employed, with the Partial Least Squares (PLS-SEM) approach chosen due to the study’s exploratory and predictive nature [65]. </w:t>
      </w:r>
      <w:proofErr w:type="spellStart"/>
      <w:r w:rsidRPr="00ED0815">
        <w:rPr>
          <w:rFonts w:ascii="Times New Roman" w:hAnsi="Times New Roman" w:cs="Times New Roman"/>
          <w:sz w:val="24"/>
          <w:szCs w:val="24"/>
        </w:rPr>
        <w:t>SmartPLS</w:t>
      </w:r>
      <w:proofErr w:type="spellEnd"/>
      <w:r w:rsidRPr="00ED0815">
        <w:rPr>
          <w:rFonts w:ascii="Times New Roman" w:hAnsi="Times New Roman" w:cs="Times New Roman"/>
          <w:sz w:val="24"/>
          <w:szCs w:val="24"/>
        </w:rPr>
        <w:t xml:space="preserve"> 3.0 software was used to conduct the analysis. As noted by Hair et al. [66], </w:t>
      </w:r>
      <w:proofErr w:type="spellStart"/>
      <w:r w:rsidRPr="00ED0815">
        <w:rPr>
          <w:rFonts w:ascii="Times New Roman" w:hAnsi="Times New Roman" w:cs="Times New Roman"/>
          <w:sz w:val="24"/>
          <w:szCs w:val="24"/>
        </w:rPr>
        <w:t>SmartPLS</w:t>
      </w:r>
      <w:proofErr w:type="spellEnd"/>
      <w:r w:rsidRPr="00ED0815">
        <w:rPr>
          <w:rFonts w:ascii="Times New Roman" w:hAnsi="Times New Roman" w:cs="Times New Roman"/>
          <w:sz w:val="24"/>
          <w:szCs w:val="24"/>
        </w:rPr>
        <w:t xml:space="preserve"> is particularly effective for producing reliable results when working with small data samples. The analysis was conducted in two main phases: first, a measurement model assessment, followed by a structural model assessment.</w:t>
      </w:r>
    </w:p>
    <w:p w:rsidR="00ED0815" w:rsidRPr="00ED0815" w:rsidRDefault="00ED0815" w:rsidP="00D2103F">
      <w:pPr>
        <w:spacing w:before="100" w:beforeAutospacing="1" w:after="100" w:afterAutospacing="1" w:line="360" w:lineRule="auto"/>
        <w:jc w:val="both"/>
        <w:rPr>
          <w:rFonts w:ascii="Times New Roman" w:eastAsia="Times New Roman" w:hAnsi="Times New Roman" w:cs="Times New Roman"/>
          <w:b/>
          <w:sz w:val="28"/>
          <w:szCs w:val="28"/>
          <w:lang w:val="en-US"/>
        </w:rPr>
      </w:pPr>
      <w:r w:rsidRPr="00ED0815">
        <w:rPr>
          <w:rFonts w:ascii="Times New Roman" w:eastAsia="Times New Roman" w:hAnsi="Times New Roman" w:cs="Times New Roman"/>
          <w:b/>
          <w:sz w:val="28"/>
          <w:szCs w:val="28"/>
          <w:lang w:val="en-US"/>
        </w:rPr>
        <w:t>Analysis and Discussion:</w:t>
      </w:r>
    </w:p>
    <w:p w:rsidR="00ED0815" w:rsidRDefault="003A252E" w:rsidP="00AB4A80">
      <w:pPr>
        <w:spacing w:before="100" w:beforeAutospacing="1" w:after="100" w:afterAutospacing="1" w:line="360" w:lineRule="auto"/>
        <w:jc w:val="both"/>
        <w:rPr>
          <w:rFonts w:ascii="Times New Roman" w:eastAsia="Times New Roman" w:hAnsi="Times New Roman" w:cs="Times New Roman"/>
          <w:b/>
          <w:sz w:val="24"/>
          <w:szCs w:val="24"/>
          <w:lang w:val="en-US"/>
        </w:rPr>
      </w:pPr>
      <w:r w:rsidRPr="00397994">
        <w:rPr>
          <w:rFonts w:ascii="Times New Roman" w:eastAsia="Times New Roman" w:hAnsi="Times New Roman" w:cs="Times New Roman"/>
          <w:b/>
          <w:sz w:val="24"/>
          <w:szCs w:val="24"/>
          <w:lang w:val="en-US"/>
        </w:rPr>
        <w:t>Model Fitness</w:t>
      </w:r>
      <w:r w:rsidR="00AB4A80">
        <w:rPr>
          <w:rFonts w:ascii="Times New Roman" w:eastAsia="Times New Roman" w:hAnsi="Times New Roman" w:cs="Times New Roman"/>
          <w:b/>
          <w:sz w:val="24"/>
          <w:szCs w:val="24"/>
          <w:lang w:val="en-US"/>
        </w:rPr>
        <w:t>:</w:t>
      </w:r>
    </w:p>
    <w:p w:rsidR="00AB4A80" w:rsidRPr="00F96FC1" w:rsidRDefault="00AB4A80" w:rsidP="00AB4A80">
      <w:pPr>
        <w:spacing w:before="100" w:beforeAutospacing="1" w:after="100" w:afterAutospacing="1" w:line="360" w:lineRule="auto"/>
        <w:jc w:val="both"/>
        <w:rPr>
          <w:rFonts w:ascii="Times New Roman" w:eastAsia="Times New Roman" w:hAnsi="Times New Roman" w:cs="Times New Roman"/>
          <w:sz w:val="24"/>
          <w:szCs w:val="24"/>
          <w:lang w:val="en-US"/>
        </w:rPr>
      </w:pPr>
      <w:r w:rsidRPr="00F96FC1">
        <w:rPr>
          <w:rFonts w:ascii="Times New Roman" w:eastAsia="Times New Roman" w:hAnsi="Times New Roman" w:cs="Times New Roman"/>
          <w:sz w:val="24"/>
          <w:szCs w:val="24"/>
          <w:lang w:val="en-US"/>
        </w:rPr>
        <w:t xml:space="preserve">The table provides a comprehensive analysis of the reliability metrics for several constructs in a research model, likely derived from a survey-based study. The constructs, including </w:t>
      </w:r>
      <w:r w:rsidRPr="00F96FC1">
        <w:rPr>
          <w:rFonts w:ascii="Times New Roman" w:eastAsia="Times New Roman" w:hAnsi="Times New Roman" w:cs="Times New Roman"/>
          <w:bCs/>
          <w:sz w:val="24"/>
          <w:szCs w:val="24"/>
          <w:lang w:val="en-US"/>
        </w:rPr>
        <w:t>Confirmation</w:t>
      </w:r>
      <w:r w:rsidRPr="00F96FC1">
        <w:rPr>
          <w:rFonts w:ascii="Times New Roman" w:eastAsia="Times New Roman" w:hAnsi="Times New Roman" w:cs="Times New Roman"/>
          <w:sz w:val="24"/>
          <w:szCs w:val="24"/>
          <w:lang w:val="en-US"/>
        </w:rPr>
        <w:t xml:space="preserve">, </w:t>
      </w:r>
      <w:r w:rsidRPr="00F96FC1">
        <w:rPr>
          <w:rFonts w:ascii="Times New Roman" w:eastAsia="Times New Roman" w:hAnsi="Times New Roman" w:cs="Times New Roman"/>
          <w:bCs/>
          <w:sz w:val="24"/>
          <w:szCs w:val="24"/>
          <w:lang w:val="en-US"/>
        </w:rPr>
        <w:t>Perceived Ease of Use</w:t>
      </w:r>
      <w:r w:rsidRPr="00F96FC1">
        <w:rPr>
          <w:rFonts w:ascii="Times New Roman" w:eastAsia="Times New Roman" w:hAnsi="Times New Roman" w:cs="Times New Roman"/>
          <w:sz w:val="24"/>
          <w:szCs w:val="24"/>
          <w:lang w:val="en-US"/>
        </w:rPr>
        <w:t xml:space="preserve">, </w:t>
      </w:r>
      <w:r w:rsidRPr="00F96FC1">
        <w:rPr>
          <w:rFonts w:ascii="Times New Roman" w:eastAsia="Times New Roman" w:hAnsi="Times New Roman" w:cs="Times New Roman"/>
          <w:bCs/>
          <w:sz w:val="24"/>
          <w:szCs w:val="24"/>
          <w:lang w:val="en-US"/>
        </w:rPr>
        <w:t>Perceived Usefulness</w:t>
      </w:r>
      <w:r w:rsidRPr="00F96FC1">
        <w:rPr>
          <w:rFonts w:ascii="Times New Roman" w:eastAsia="Times New Roman" w:hAnsi="Times New Roman" w:cs="Times New Roman"/>
          <w:sz w:val="24"/>
          <w:szCs w:val="24"/>
          <w:lang w:val="en-US"/>
        </w:rPr>
        <w:t xml:space="preserve">, </w:t>
      </w:r>
      <w:r w:rsidRPr="00F96FC1">
        <w:rPr>
          <w:rFonts w:ascii="Times New Roman" w:eastAsia="Times New Roman" w:hAnsi="Times New Roman" w:cs="Times New Roman"/>
          <w:bCs/>
          <w:sz w:val="24"/>
          <w:szCs w:val="24"/>
          <w:lang w:val="en-US"/>
        </w:rPr>
        <w:t>Satisfaction</w:t>
      </w:r>
      <w:r w:rsidRPr="00F96FC1">
        <w:rPr>
          <w:rFonts w:ascii="Times New Roman" w:eastAsia="Times New Roman" w:hAnsi="Times New Roman" w:cs="Times New Roman"/>
          <w:sz w:val="24"/>
          <w:szCs w:val="24"/>
          <w:lang w:val="en-US"/>
        </w:rPr>
        <w:t xml:space="preserve">, </w:t>
      </w:r>
      <w:r w:rsidRPr="00F96FC1">
        <w:rPr>
          <w:rFonts w:ascii="Times New Roman" w:eastAsia="Times New Roman" w:hAnsi="Times New Roman" w:cs="Times New Roman"/>
          <w:bCs/>
          <w:sz w:val="24"/>
          <w:szCs w:val="24"/>
          <w:lang w:val="en-US"/>
        </w:rPr>
        <w:t>Trust</w:t>
      </w:r>
      <w:r w:rsidRPr="00F96FC1">
        <w:rPr>
          <w:rFonts w:ascii="Times New Roman" w:eastAsia="Times New Roman" w:hAnsi="Times New Roman" w:cs="Times New Roman"/>
          <w:sz w:val="24"/>
          <w:szCs w:val="24"/>
          <w:lang w:val="en-US"/>
        </w:rPr>
        <w:t xml:space="preserve">, </w:t>
      </w:r>
      <w:r w:rsidRPr="00F96FC1">
        <w:rPr>
          <w:rFonts w:ascii="Times New Roman" w:eastAsia="Times New Roman" w:hAnsi="Times New Roman" w:cs="Times New Roman"/>
          <w:bCs/>
          <w:sz w:val="24"/>
          <w:szCs w:val="24"/>
          <w:lang w:val="en-US"/>
        </w:rPr>
        <w:t>Users' Experiences</w:t>
      </w:r>
      <w:r w:rsidRPr="00F96FC1">
        <w:rPr>
          <w:rFonts w:ascii="Times New Roman" w:eastAsia="Times New Roman" w:hAnsi="Times New Roman" w:cs="Times New Roman"/>
          <w:sz w:val="24"/>
          <w:szCs w:val="24"/>
          <w:lang w:val="en-US"/>
        </w:rPr>
        <w:t xml:space="preserve">, and </w:t>
      </w:r>
      <w:r w:rsidRPr="00F96FC1">
        <w:rPr>
          <w:rFonts w:ascii="Times New Roman" w:eastAsia="Times New Roman" w:hAnsi="Times New Roman" w:cs="Times New Roman"/>
          <w:bCs/>
          <w:sz w:val="24"/>
          <w:szCs w:val="24"/>
          <w:lang w:val="en-US"/>
        </w:rPr>
        <w:t>Sustainable Intention to Use</w:t>
      </w:r>
      <w:r w:rsidRPr="00F96FC1">
        <w:rPr>
          <w:rFonts w:ascii="Times New Roman" w:eastAsia="Times New Roman" w:hAnsi="Times New Roman" w:cs="Times New Roman"/>
          <w:sz w:val="24"/>
          <w:szCs w:val="24"/>
          <w:lang w:val="en-US"/>
        </w:rPr>
        <w:t xml:space="preserve">, are assessed using key metrics such as Cronbach’s Alpha (α), Composite Reliability (CR), item reliability, and Average Variance Extracted (AVE). All constructs exhibit Cronbach’s Alpha values greater than 0.7, indicating acceptable internal consistency. These values range from 0.832 for </w:t>
      </w:r>
      <w:r w:rsidRPr="00F96FC1">
        <w:rPr>
          <w:rFonts w:ascii="Times New Roman" w:eastAsia="Times New Roman" w:hAnsi="Times New Roman" w:cs="Times New Roman"/>
          <w:bCs/>
          <w:sz w:val="24"/>
          <w:szCs w:val="24"/>
          <w:lang w:val="en-US"/>
        </w:rPr>
        <w:t>Perceived Usefulness</w:t>
      </w:r>
      <w:r w:rsidRPr="00F96FC1">
        <w:rPr>
          <w:rFonts w:ascii="Times New Roman" w:eastAsia="Times New Roman" w:hAnsi="Times New Roman" w:cs="Times New Roman"/>
          <w:sz w:val="24"/>
          <w:szCs w:val="24"/>
          <w:lang w:val="en-US"/>
        </w:rPr>
        <w:t xml:space="preserve"> to 0.865 for </w:t>
      </w:r>
      <w:r w:rsidRPr="00F96FC1">
        <w:rPr>
          <w:rFonts w:ascii="Times New Roman" w:eastAsia="Times New Roman" w:hAnsi="Times New Roman" w:cs="Times New Roman"/>
          <w:bCs/>
          <w:sz w:val="24"/>
          <w:szCs w:val="24"/>
          <w:lang w:val="en-US"/>
        </w:rPr>
        <w:t>Perceived Ease of Use</w:t>
      </w:r>
      <w:r w:rsidRPr="00F96FC1">
        <w:rPr>
          <w:rFonts w:ascii="Times New Roman" w:eastAsia="Times New Roman" w:hAnsi="Times New Roman" w:cs="Times New Roman"/>
          <w:sz w:val="24"/>
          <w:szCs w:val="24"/>
          <w:lang w:val="en-US"/>
        </w:rPr>
        <w:t>, demonstrating that the items within each construct consistently measure the intended underlying latent variable.</w:t>
      </w:r>
    </w:p>
    <w:p w:rsidR="00912EB0" w:rsidRPr="008D40C0" w:rsidRDefault="00912EB0" w:rsidP="00912EB0">
      <w:pPr>
        <w:pStyle w:val="Caption"/>
        <w:jc w:val="center"/>
        <w:rPr>
          <w:rFonts w:ascii="Times New Roman" w:hAnsi="Times New Roman"/>
          <w:b/>
          <w:bCs/>
          <w:i w:val="0"/>
          <w:iCs w:val="0"/>
          <w:color w:val="000000"/>
          <w:sz w:val="24"/>
          <w:szCs w:val="24"/>
        </w:rPr>
      </w:pPr>
      <w:bookmarkStart w:id="2" w:name="_Ref90293874"/>
      <w:bookmarkStart w:id="3" w:name="_Ref64907347"/>
      <w:r w:rsidRPr="008D40C0">
        <w:rPr>
          <w:rFonts w:ascii="Times New Roman" w:hAnsi="Times New Roman"/>
          <w:b/>
          <w:bCs/>
          <w:i w:val="0"/>
          <w:iCs w:val="0"/>
          <w:color w:val="000000"/>
          <w:sz w:val="24"/>
          <w:szCs w:val="24"/>
        </w:rPr>
        <w:t xml:space="preserve">Table </w:t>
      </w:r>
      <w:r w:rsidRPr="008D40C0">
        <w:rPr>
          <w:rFonts w:ascii="Times New Roman" w:hAnsi="Times New Roman"/>
          <w:b/>
          <w:bCs/>
          <w:i w:val="0"/>
          <w:iCs w:val="0"/>
          <w:color w:val="000000"/>
          <w:sz w:val="24"/>
          <w:szCs w:val="24"/>
        </w:rPr>
        <w:fldChar w:fldCharType="begin"/>
      </w:r>
      <w:r w:rsidRPr="008D40C0">
        <w:rPr>
          <w:rFonts w:ascii="Times New Roman" w:hAnsi="Times New Roman"/>
          <w:b/>
          <w:bCs/>
          <w:i w:val="0"/>
          <w:iCs w:val="0"/>
          <w:color w:val="000000"/>
          <w:sz w:val="24"/>
          <w:szCs w:val="24"/>
        </w:rPr>
        <w:instrText xml:space="preserve"> SEQ Table \* ARABIC </w:instrText>
      </w:r>
      <w:r w:rsidRPr="008D40C0">
        <w:rPr>
          <w:rFonts w:ascii="Times New Roman" w:hAnsi="Times New Roman"/>
          <w:b/>
          <w:bCs/>
          <w:i w:val="0"/>
          <w:iCs w:val="0"/>
          <w:color w:val="000000"/>
          <w:sz w:val="24"/>
          <w:szCs w:val="24"/>
        </w:rPr>
        <w:fldChar w:fldCharType="separate"/>
      </w:r>
      <w:r w:rsidRPr="008D40C0">
        <w:rPr>
          <w:rFonts w:ascii="Times New Roman" w:hAnsi="Times New Roman"/>
          <w:b/>
          <w:bCs/>
          <w:i w:val="0"/>
          <w:iCs w:val="0"/>
          <w:color w:val="000000"/>
          <w:sz w:val="24"/>
          <w:szCs w:val="24"/>
        </w:rPr>
        <w:t>3</w:t>
      </w:r>
      <w:r w:rsidRPr="008D40C0">
        <w:rPr>
          <w:rFonts w:ascii="Times New Roman" w:hAnsi="Times New Roman"/>
          <w:b/>
          <w:bCs/>
          <w:i w:val="0"/>
          <w:iCs w:val="0"/>
          <w:color w:val="000000"/>
          <w:sz w:val="24"/>
          <w:szCs w:val="24"/>
        </w:rPr>
        <w:fldChar w:fldCharType="end"/>
      </w:r>
      <w:bookmarkEnd w:id="2"/>
      <w:r w:rsidRPr="008D40C0">
        <w:rPr>
          <w:rFonts w:ascii="Times New Roman" w:hAnsi="Times New Roman"/>
          <w:b/>
          <w:bCs/>
          <w:i w:val="0"/>
          <w:iCs w:val="0"/>
          <w:color w:val="000000"/>
          <w:sz w:val="24"/>
          <w:szCs w:val="24"/>
        </w:rPr>
        <w:t>. Reliability &amp; Convergent Validity Tests Summary</w:t>
      </w:r>
    </w:p>
    <w:bookmarkEnd w:id="3"/>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1170"/>
        <w:gridCol w:w="2003"/>
        <w:gridCol w:w="1664"/>
        <w:gridCol w:w="1350"/>
        <w:gridCol w:w="1373"/>
      </w:tblGrid>
      <w:tr w:rsidR="0001112B" w:rsidRPr="0001112B" w:rsidTr="00AB4A80">
        <w:trPr>
          <w:trHeight w:val="767"/>
        </w:trPr>
        <w:tc>
          <w:tcPr>
            <w:tcW w:w="1890" w:type="dxa"/>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b/>
                <w:bCs/>
                <w:color w:val="000000" w:themeColor="text1"/>
                <w:sz w:val="24"/>
                <w:szCs w:val="24"/>
              </w:rPr>
            </w:pPr>
          </w:p>
          <w:p w:rsidR="00912EB0" w:rsidRPr="0001112B" w:rsidRDefault="00912EB0" w:rsidP="0001112B">
            <w:pPr>
              <w:spacing w:after="0" w:line="240" w:lineRule="auto"/>
              <w:jc w:val="center"/>
              <w:rPr>
                <w:rFonts w:ascii="Times New Roman" w:eastAsia="Times New Roman" w:hAnsi="Times New Roman" w:cs="Times New Roman"/>
                <w:b/>
                <w:bCs/>
                <w:color w:val="000000" w:themeColor="text1"/>
                <w:sz w:val="24"/>
                <w:szCs w:val="24"/>
              </w:rPr>
            </w:pPr>
            <w:r w:rsidRPr="0001112B">
              <w:rPr>
                <w:rFonts w:ascii="Times New Roman" w:eastAsia="Times New Roman" w:hAnsi="Times New Roman" w:cs="Times New Roman"/>
                <w:b/>
                <w:bCs/>
                <w:color w:val="000000" w:themeColor="text1"/>
                <w:sz w:val="24"/>
                <w:szCs w:val="24"/>
              </w:rPr>
              <w:t>Construct</w:t>
            </w:r>
          </w:p>
          <w:p w:rsidR="00912EB0" w:rsidRPr="0001112B" w:rsidRDefault="00912EB0" w:rsidP="0001112B">
            <w:pPr>
              <w:spacing w:after="0" w:line="240" w:lineRule="auto"/>
              <w:jc w:val="center"/>
              <w:rPr>
                <w:rFonts w:ascii="Times New Roman" w:eastAsia="Times New Roman" w:hAnsi="Times New Roman" w:cs="Times New Roman"/>
                <w:b/>
                <w:bCs/>
                <w:color w:val="000000" w:themeColor="text1"/>
                <w:sz w:val="24"/>
                <w:szCs w:val="24"/>
              </w:rPr>
            </w:pPr>
          </w:p>
        </w:tc>
        <w:tc>
          <w:tcPr>
            <w:tcW w:w="1170" w:type="dxa"/>
            <w:shd w:val="clear" w:color="auto" w:fill="auto"/>
            <w:vAlign w:val="center"/>
            <w:hideMark/>
          </w:tcPr>
          <w:p w:rsidR="00912EB0" w:rsidRPr="0001112B" w:rsidRDefault="00912EB0" w:rsidP="0001112B">
            <w:pPr>
              <w:spacing w:after="0" w:line="240" w:lineRule="auto"/>
              <w:jc w:val="center"/>
              <w:rPr>
                <w:rFonts w:ascii="Times New Roman" w:eastAsia="Times New Roman" w:hAnsi="Times New Roman" w:cs="Times New Roman"/>
                <w:b/>
                <w:bCs/>
                <w:color w:val="000000" w:themeColor="text1"/>
                <w:sz w:val="24"/>
                <w:szCs w:val="24"/>
              </w:rPr>
            </w:pPr>
            <w:r w:rsidRPr="0001112B">
              <w:rPr>
                <w:rFonts w:ascii="Times New Roman" w:eastAsia="Times New Roman" w:hAnsi="Times New Roman" w:cs="Times New Roman"/>
                <w:b/>
                <w:bCs/>
                <w:color w:val="000000" w:themeColor="text1"/>
                <w:sz w:val="24"/>
                <w:szCs w:val="24"/>
              </w:rPr>
              <w:t>α &gt;0.7</w:t>
            </w:r>
          </w:p>
        </w:tc>
        <w:tc>
          <w:tcPr>
            <w:tcW w:w="2003" w:type="dxa"/>
            <w:shd w:val="clear" w:color="auto" w:fill="auto"/>
            <w:vAlign w:val="center"/>
            <w:hideMark/>
          </w:tcPr>
          <w:p w:rsidR="00912EB0" w:rsidRPr="0001112B" w:rsidRDefault="00912EB0" w:rsidP="0001112B">
            <w:pPr>
              <w:spacing w:after="0" w:line="240" w:lineRule="auto"/>
              <w:jc w:val="center"/>
              <w:rPr>
                <w:rFonts w:ascii="Times New Roman" w:eastAsia="Times New Roman" w:hAnsi="Times New Roman" w:cs="Times New Roman"/>
                <w:b/>
                <w:bCs/>
                <w:color w:val="000000" w:themeColor="text1"/>
                <w:sz w:val="24"/>
                <w:szCs w:val="24"/>
              </w:rPr>
            </w:pPr>
            <w:r w:rsidRPr="0001112B">
              <w:rPr>
                <w:rFonts w:ascii="Times New Roman" w:eastAsia="Times New Roman" w:hAnsi="Times New Roman" w:cs="Times New Roman"/>
                <w:b/>
                <w:bCs/>
                <w:color w:val="000000" w:themeColor="text1"/>
                <w:sz w:val="24"/>
                <w:szCs w:val="24"/>
              </w:rPr>
              <w:t>Composite Reliability &gt;0.7</w:t>
            </w:r>
          </w:p>
        </w:tc>
        <w:tc>
          <w:tcPr>
            <w:tcW w:w="1664" w:type="dxa"/>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b/>
                <w:bCs/>
                <w:color w:val="000000" w:themeColor="text1"/>
                <w:sz w:val="24"/>
                <w:szCs w:val="24"/>
              </w:rPr>
            </w:pPr>
            <w:r w:rsidRPr="0001112B">
              <w:rPr>
                <w:rFonts w:ascii="Times New Roman" w:eastAsia="Times New Roman" w:hAnsi="Times New Roman" w:cs="Times New Roman"/>
                <w:b/>
                <w:bCs/>
                <w:color w:val="000000" w:themeColor="text1"/>
                <w:sz w:val="24"/>
                <w:szCs w:val="24"/>
              </w:rPr>
              <w:t>Items</w:t>
            </w:r>
          </w:p>
        </w:tc>
        <w:tc>
          <w:tcPr>
            <w:tcW w:w="1350" w:type="dxa"/>
            <w:shd w:val="clear" w:color="auto" w:fill="auto"/>
            <w:vAlign w:val="center"/>
            <w:hideMark/>
          </w:tcPr>
          <w:p w:rsidR="00912EB0" w:rsidRPr="0001112B" w:rsidRDefault="00912EB0" w:rsidP="0001112B">
            <w:pPr>
              <w:spacing w:after="0" w:line="240" w:lineRule="auto"/>
              <w:jc w:val="center"/>
              <w:rPr>
                <w:rFonts w:ascii="Times New Roman" w:eastAsia="Times New Roman" w:hAnsi="Times New Roman" w:cs="Times New Roman"/>
                <w:b/>
                <w:bCs/>
                <w:color w:val="000000" w:themeColor="text1"/>
                <w:sz w:val="24"/>
                <w:szCs w:val="24"/>
              </w:rPr>
            </w:pPr>
            <w:r w:rsidRPr="0001112B">
              <w:rPr>
                <w:rFonts w:ascii="Times New Roman" w:eastAsia="Times New Roman" w:hAnsi="Times New Roman" w:cs="Times New Roman"/>
                <w:b/>
                <w:bCs/>
                <w:color w:val="000000" w:themeColor="text1"/>
                <w:sz w:val="24"/>
                <w:szCs w:val="24"/>
              </w:rPr>
              <w:t>Indicators’ reliability &gt;=0.7</w:t>
            </w:r>
          </w:p>
        </w:tc>
        <w:tc>
          <w:tcPr>
            <w:tcW w:w="1373" w:type="dxa"/>
            <w:shd w:val="clear" w:color="auto" w:fill="auto"/>
            <w:vAlign w:val="center"/>
            <w:hideMark/>
          </w:tcPr>
          <w:p w:rsidR="00912EB0" w:rsidRPr="0001112B" w:rsidRDefault="00912EB0" w:rsidP="0001112B">
            <w:pPr>
              <w:spacing w:after="0" w:line="240" w:lineRule="auto"/>
              <w:jc w:val="center"/>
              <w:rPr>
                <w:rFonts w:ascii="Times New Roman" w:eastAsia="Times New Roman" w:hAnsi="Times New Roman" w:cs="Times New Roman"/>
                <w:b/>
                <w:bCs/>
                <w:color w:val="000000" w:themeColor="text1"/>
                <w:sz w:val="24"/>
                <w:szCs w:val="24"/>
              </w:rPr>
            </w:pPr>
            <w:r w:rsidRPr="0001112B">
              <w:rPr>
                <w:rFonts w:ascii="Times New Roman" w:eastAsia="Times New Roman" w:hAnsi="Times New Roman" w:cs="Times New Roman"/>
                <w:b/>
                <w:bCs/>
                <w:color w:val="000000" w:themeColor="text1"/>
                <w:sz w:val="24"/>
                <w:szCs w:val="24"/>
              </w:rPr>
              <w:t>AVE&gt;0.5</w:t>
            </w:r>
          </w:p>
        </w:tc>
      </w:tr>
      <w:tr w:rsidR="0001112B" w:rsidRPr="0001112B" w:rsidTr="00AB4A80">
        <w:trPr>
          <w:trHeight w:val="285"/>
        </w:trPr>
        <w:tc>
          <w:tcPr>
            <w:tcW w:w="1890" w:type="dxa"/>
            <w:vMerge w:val="restart"/>
            <w:shd w:val="clear" w:color="auto" w:fill="auto"/>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Confirmation</w:t>
            </w:r>
          </w:p>
        </w:tc>
        <w:tc>
          <w:tcPr>
            <w:tcW w:w="1170" w:type="dxa"/>
            <w:vMerge w:val="restart"/>
            <w:shd w:val="clear" w:color="auto" w:fill="auto"/>
            <w:noWrap/>
            <w:vAlign w:val="center"/>
            <w:hideMark/>
          </w:tcPr>
          <w:p w:rsidR="0001112B" w:rsidRPr="0001112B" w:rsidRDefault="0001112B" w:rsidP="0001112B">
            <w:pPr>
              <w:spacing w:after="0" w:line="240" w:lineRule="auto"/>
              <w:jc w:val="center"/>
              <w:rPr>
                <w:rFonts w:ascii="Times New Roman" w:eastAsia="Times New Roman" w:hAnsi="Times New Roman" w:cs="Times New Roman"/>
                <w:color w:val="000000" w:themeColor="text1"/>
                <w:sz w:val="24"/>
                <w:szCs w:val="24"/>
                <w:lang w:val="en-US"/>
              </w:rPr>
            </w:pPr>
          </w:p>
          <w:p w:rsidR="0001112B" w:rsidRPr="0001112B" w:rsidRDefault="0001112B" w:rsidP="0001112B">
            <w:pPr>
              <w:spacing w:after="0" w:line="240" w:lineRule="auto"/>
              <w:jc w:val="center"/>
              <w:rPr>
                <w:rFonts w:ascii="Times New Roman" w:eastAsia="Times New Roman" w:hAnsi="Times New Roman" w:cs="Times New Roman"/>
                <w:color w:val="000000" w:themeColor="text1"/>
                <w:sz w:val="24"/>
                <w:szCs w:val="24"/>
                <w:lang w:val="en-US"/>
              </w:rPr>
            </w:pPr>
          </w:p>
          <w:p w:rsidR="00F82F00" w:rsidRPr="0001112B" w:rsidRDefault="0001112B"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lang w:val="en-US"/>
              </w:rPr>
              <w:t>0.857</w:t>
            </w:r>
          </w:p>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p w:rsidR="00F82F00" w:rsidRPr="0001112B" w:rsidRDefault="00F82F00" w:rsidP="0001112B">
            <w:pPr>
              <w:spacing w:after="0" w:line="240" w:lineRule="auto"/>
              <w:rPr>
                <w:rFonts w:ascii="Times New Roman" w:eastAsia="Times New Roman" w:hAnsi="Times New Roman" w:cs="Times New Roman"/>
                <w:color w:val="000000" w:themeColor="text1"/>
                <w:sz w:val="24"/>
                <w:szCs w:val="24"/>
              </w:rPr>
            </w:pPr>
          </w:p>
        </w:tc>
        <w:tc>
          <w:tcPr>
            <w:tcW w:w="2003" w:type="dxa"/>
            <w:vMerge w:val="restart"/>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0.941</w:t>
            </w:r>
          </w:p>
        </w:tc>
        <w:tc>
          <w:tcPr>
            <w:tcW w:w="1664"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CF1</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0.875</w:t>
            </w:r>
          </w:p>
        </w:tc>
        <w:tc>
          <w:tcPr>
            <w:tcW w:w="1373" w:type="dxa"/>
            <w:vMerge w:val="restart"/>
            <w:shd w:val="clear" w:color="auto" w:fill="auto"/>
            <w:noWrap/>
            <w:vAlign w:val="bottom"/>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0.83</w:t>
            </w:r>
          </w:p>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p w:rsidR="00F82F00" w:rsidRPr="0001112B" w:rsidRDefault="00F82F00" w:rsidP="0001112B">
            <w:pPr>
              <w:spacing w:after="0" w:line="240" w:lineRule="auto"/>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CF2</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0.859</w:t>
            </w:r>
          </w:p>
        </w:tc>
        <w:tc>
          <w:tcPr>
            <w:tcW w:w="137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395"/>
        </w:trPr>
        <w:tc>
          <w:tcPr>
            <w:tcW w:w="1890" w:type="dxa"/>
            <w:vMerge/>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CF3</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0.818</w:t>
            </w:r>
          </w:p>
        </w:tc>
        <w:tc>
          <w:tcPr>
            <w:tcW w:w="137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368"/>
        </w:trPr>
        <w:tc>
          <w:tcPr>
            <w:tcW w:w="1890" w:type="dxa"/>
            <w:vMerge/>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CF4</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0.794</w:t>
            </w:r>
          </w:p>
        </w:tc>
        <w:tc>
          <w:tcPr>
            <w:tcW w:w="137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85"/>
        </w:trPr>
        <w:tc>
          <w:tcPr>
            <w:tcW w:w="1890" w:type="dxa"/>
            <w:vMerge w:val="restart"/>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Perceived Ease of Use</w:t>
            </w:r>
          </w:p>
        </w:tc>
        <w:tc>
          <w:tcPr>
            <w:tcW w:w="1170" w:type="dxa"/>
            <w:vMerge w:val="restart"/>
            <w:shd w:val="clear" w:color="auto" w:fill="auto"/>
            <w:noWrap/>
            <w:vAlign w:val="center"/>
            <w:hideMark/>
          </w:tcPr>
          <w:p w:rsidR="00F82F00" w:rsidRPr="0001112B" w:rsidRDefault="0001112B"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lang w:val="en-US"/>
              </w:rPr>
              <w:t>0.865</w:t>
            </w:r>
          </w:p>
        </w:tc>
        <w:tc>
          <w:tcPr>
            <w:tcW w:w="2003" w:type="dxa"/>
            <w:vMerge w:val="restart"/>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0.878</w:t>
            </w:r>
          </w:p>
        </w:tc>
        <w:tc>
          <w:tcPr>
            <w:tcW w:w="1664"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PEU1</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0.844</w:t>
            </w:r>
          </w:p>
        </w:tc>
        <w:tc>
          <w:tcPr>
            <w:tcW w:w="1373" w:type="dxa"/>
            <w:vMerge w:val="restart"/>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0.656</w:t>
            </w:r>
          </w:p>
        </w:tc>
      </w:tr>
      <w:tr w:rsidR="0001112B" w:rsidRPr="0001112B" w:rsidTr="00AB4A80">
        <w:trPr>
          <w:trHeight w:val="297"/>
        </w:trPr>
        <w:tc>
          <w:tcPr>
            <w:tcW w:w="1890" w:type="dxa"/>
            <w:vMerge/>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PEU2</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0.830</w:t>
            </w:r>
          </w:p>
        </w:tc>
        <w:tc>
          <w:tcPr>
            <w:tcW w:w="137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PEU3</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0.855</w:t>
            </w:r>
          </w:p>
        </w:tc>
        <w:tc>
          <w:tcPr>
            <w:tcW w:w="137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PEU4</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0.843</w:t>
            </w:r>
          </w:p>
        </w:tc>
        <w:tc>
          <w:tcPr>
            <w:tcW w:w="137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73"/>
        </w:trPr>
        <w:tc>
          <w:tcPr>
            <w:tcW w:w="1890" w:type="dxa"/>
            <w:vMerge w:val="restart"/>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Perceived Usefulness</w:t>
            </w:r>
          </w:p>
        </w:tc>
        <w:tc>
          <w:tcPr>
            <w:tcW w:w="1170" w:type="dxa"/>
            <w:vMerge w:val="restart"/>
            <w:shd w:val="clear" w:color="auto" w:fill="auto"/>
            <w:noWrap/>
            <w:vAlign w:val="center"/>
            <w:hideMark/>
          </w:tcPr>
          <w:p w:rsidR="00F82F00" w:rsidRPr="0001112B" w:rsidRDefault="0001112B"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lang w:val="en-US"/>
              </w:rPr>
              <w:t>0.832</w:t>
            </w:r>
          </w:p>
        </w:tc>
        <w:tc>
          <w:tcPr>
            <w:tcW w:w="2003" w:type="dxa"/>
            <w:vMerge w:val="restart"/>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0.929</w:t>
            </w:r>
          </w:p>
        </w:tc>
        <w:tc>
          <w:tcPr>
            <w:tcW w:w="1664"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PU1</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0.846</w:t>
            </w:r>
          </w:p>
        </w:tc>
        <w:tc>
          <w:tcPr>
            <w:tcW w:w="1373" w:type="dxa"/>
            <w:vMerge w:val="restart"/>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0.812</w:t>
            </w:r>
          </w:p>
        </w:tc>
      </w:tr>
      <w:tr w:rsidR="0001112B" w:rsidRPr="0001112B" w:rsidTr="00AB4A80">
        <w:trPr>
          <w:trHeight w:val="332"/>
        </w:trPr>
        <w:tc>
          <w:tcPr>
            <w:tcW w:w="1890" w:type="dxa"/>
            <w:vMerge/>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PU2</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0.873</w:t>
            </w:r>
          </w:p>
        </w:tc>
        <w:tc>
          <w:tcPr>
            <w:tcW w:w="137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PU3</w:t>
            </w:r>
          </w:p>
        </w:tc>
        <w:tc>
          <w:tcPr>
            <w:tcW w:w="1350" w:type="dxa"/>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0.875</w:t>
            </w:r>
          </w:p>
        </w:tc>
        <w:tc>
          <w:tcPr>
            <w:tcW w:w="1373" w:type="dxa"/>
            <w:vMerge/>
            <w:shd w:val="clear" w:color="auto" w:fill="auto"/>
            <w:noWrap/>
            <w:vAlign w:val="center"/>
            <w:hideMark/>
          </w:tcPr>
          <w:p w:rsidR="00F82F00" w:rsidRPr="0001112B" w:rsidRDefault="00F82F0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37"/>
        </w:trPr>
        <w:tc>
          <w:tcPr>
            <w:tcW w:w="1890" w:type="dxa"/>
            <w:vMerge w:val="restart"/>
            <w:shd w:val="clear" w:color="auto" w:fill="auto"/>
            <w:noWrap/>
            <w:vAlign w:val="center"/>
            <w:hideMark/>
          </w:tcPr>
          <w:p w:rsidR="00912EB0" w:rsidRPr="0001112B" w:rsidRDefault="00DC49B5"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Satisfaction</w:t>
            </w:r>
          </w:p>
        </w:tc>
        <w:tc>
          <w:tcPr>
            <w:tcW w:w="1170" w:type="dxa"/>
            <w:vMerge w:val="restart"/>
            <w:shd w:val="clear" w:color="auto" w:fill="auto"/>
            <w:noWrap/>
            <w:vAlign w:val="center"/>
            <w:hideMark/>
          </w:tcPr>
          <w:p w:rsidR="00912EB0" w:rsidRPr="0001112B" w:rsidRDefault="0001112B"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lang w:val="en-US"/>
              </w:rPr>
              <w:t>0.857</w:t>
            </w:r>
          </w:p>
        </w:tc>
        <w:tc>
          <w:tcPr>
            <w:tcW w:w="2003" w:type="dxa"/>
            <w:vMerge w:val="restart"/>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0.883</w:t>
            </w:r>
          </w:p>
        </w:tc>
        <w:tc>
          <w:tcPr>
            <w:tcW w:w="1664" w:type="dxa"/>
            <w:shd w:val="clear" w:color="auto" w:fill="auto"/>
            <w:noWrap/>
            <w:vAlign w:val="center"/>
            <w:hideMark/>
          </w:tcPr>
          <w:p w:rsidR="00912EB0" w:rsidRPr="0001112B" w:rsidRDefault="00DC49B5"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SAT1</w:t>
            </w:r>
          </w:p>
        </w:tc>
        <w:tc>
          <w:tcPr>
            <w:tcW w:w="1350" w:type="dxa"/>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0.840</w:t>
            </w:r>
          </w:p>
        </w:tc>
        <w:tc>
          <w:tcPr>
            <w:tcW w:w="1373" w:type="dxa"/>
            <w:vMerge w:val="restart"/>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0.730</w:t>
            </w:r>
          </w:p>
        </w:tc>
      </w:tr>
      <w:tr w:rsidR="0001112B" w:rsidRPr="0001112B" w:rsidTr="00AB4A80">
        <w:trPr>
          <w:trHeight w:val="297"/>
        </w:trPr>
        <w:tc>
          <w:tcPr>
            <w:tcW w:w="1890" w:type="dxa"/>
            <w:vMerge/>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912EB0" w:rsidRPr="0001112B" w:rsidRDefault="00DC49B5"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SAT2</w:t>
            </w:r>
          </w:p>
        </w:tc>
        <w:tc>
          <w:tcPr>
            <w:tcW w:w="1350" w:type="dxa"/>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0.863</w:t>
            </w:r>
          </w:p>
        </w:tc>
        <w:tc>
          <w:tcPr>
            <w:tcW w:w="1373"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912EB0" w:rsidRPr="0001112B" w:rsidRDefault="00DC49B5"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SAT3</w:t>
            </w:r>
          </w:p>
        </w:tc>
        <w:tc>
          <w:tcPr>
            <w:tcW w:w="1350" w:type="dxa"/>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0.892</w:t>
            </w:r>
          </w:p>
        </w:tc>
        <w:tc>
          <w:tcPr>
            <w:tcW w:w="1373"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85"/>
        </w:trPr>
        <w:tc>
          <w:tcPr>
            <w:tcW w:w="1890"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912EB0" w:rsidRPr="0001112B" w:rsidRDefault="00DC49B5"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SAT4</w:t>
            </w:r>
          </w:p>
        </w:tc>
        <w:tc>
          <w:tcPr>
            <w:tcW w:w="1350" w:type="dxa"/>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0.822</w:t>
            </w:r>
          </w:p>
        </w:tc>
        <w:tc>
          <w:tcPr>
            <w:tcW w:w="1373" w:type="dxa"/>
            <w:vMerge/>
            <w:shd w:val="clear" w:color="auto" w:fill="auto"/>
            <w:noWrap/>
            <w:vAlign w:val="center"/>
            <w:hideMark/>
          </w:tcPr>
          <w:p w:rsidR="00912EB0" w:rsidRPr="0001112B" w:rsidRDefault="00912EB0"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85"/>
        </w:trPr>
        <w:tc>
          <w:tcPr>
            <w:tcW w:w="1890" w:type="dxa"/>
            <w:vMerge w:val="restart"/>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Trust</w:t>
            </w:r>
          </w:p>
        </w:tc>
        <w:tc>
          <w:tcPr>
            <w:tcW w:w="1170" w:type="dxa"/>
            <w:vMerge w:val="restart"/>
            <w:shd w:val="clear" w:color="auto" w:fill="auto"/>
            <w:noWrap/>
            <w:vAlign w:val="center"/>
            <w:hideMark/>
          </w:tcPr>
          <w:p w:rsidR="00DD3794" w:rsidRPr="0001112B" w:rsidRDefault="0001112B"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lang w:val="en-US"/>
              </w:rPr>
              <w:t>0.836</w:t>
            </w:r>
          </w:p>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val="restart"/>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0.805</w:t>
            </w:r>
          </w:p>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TR1</w:t>
            </w:r>
          </w:p>
        </w:tc>
        <w:tc>
          <w:tcPr>
            <w:tcW w:w="1350"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0.858</w:t>
            </w:r>
          </w:p>
        </w:tc>
        <w:tc>
          <w:tcPr>
            <w:tcW w:w="1373" w:type="dxa"/>
            <w:vMerge w:val="restart"/>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0.725</w:t>
            </w:r>
          </w:p>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TR2</w:t>
            </w:r>
          </w:p>
        </w:tc>
        <w:tc>
          <w:tcPr>
            <w:tcW w:w="1350"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0.872</w:t>
            </w:r>
          </w:p>
        </w:tc>
        <w:tc>
          <w:tcPr>
            <w:tcW w:w="1373"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TR3</w:t>
            </w:r>
          </w:p>
        </w:tc>
        <w:tc>
          <w:tcPr>
            <w:tcW w:w="1350"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0.874</w:t>
            </w:r>
          </w:p>
        </w:tc>
        <w:tc>
          <w:tcPr>
            <w:tcW w:w="1373"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344"/>
        </w:trPr>
        <w:tc>
          <w:tcPr>
            <w:tcW w:w="1890" w:type="dxa"/>
            <w:vMerge w:val="restart"/>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Users Experiences</w:t>
            </w:r>
          </w:p>
        </w:tc>
        <w:tc>
          <w:tcPr>
            <w:tcW w:w="1170" w:type="dxa"/>
            <w:vMerge w:val="restart"/>
            <w:shd w:val="clear" w:color="auto" w:fill="auto"/>
            <w:noWrap/>
            <w:vAlign w:val="center"/>
            <w:hideMark/>
          </w:tcPr>
          <w:p w:rsidR="00DD3794" w:rsidRPr="0001112B" w:rsidRDefault="0001112B"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lang w:val="en-US"/>
              </w:rPr>
              <w:t>0.830</w:t>
            </w:r>
          </w:p>
        </w:tc>
        <w:tc>
          <w:tcPr>
            <w:tcW w:w="2003" w:type="dxa"/>
            <w:vMerge w:val="restart"/>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0.963</w:t>
            </w:r>
          </w:p>
        </w:tc>
        <w:tc>
          <w:tcPr>
            <w:tcW w:w="1664"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UEX1</w:t>
            </w:r>
          </w:p>
        </w:tc>
        <w:tc>
          <w:tcPr>
            <w:tcW w:w="1350"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0.811</w:t>
            </w:r>
          </w:p>
        </w:tc>
        <w:tc>
          <w:tcPr>
            <w:tcW w:w="1373" w:type="dxa"/>
            <w:vMerge w:val="restart"/>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0.895</w:t>
            </w:r>
          </w:p>
        </w:tc>
      </w:tr>
      <w:tr w:rsidR="0001112B" w:rsidRPr="0001112B" w:rsidTr="00AB4A80">
        <w:trPr>
          <w:trHeight w:val="297"/>
        </w:trPr>
        <w:tc>
          <w:tcPr>
            <w:tcW w:w="1890" w:type="dxa"/>
            <w:vMerge/>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UEX2</w:t>
            </w:r>
          </w:p>
        </w:tc>
        <w:tc>
          <w:tcPr>
            <w:tcW w:w="1350"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0.896</w:t>
            </w:r>
          </w:p>
        </w:tc>
        <w:tc>
          <w:tcPr>
            <w:tcW w:w="1373"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UEX3</w:t>
            </w:r>
          </w:p>
        </w:tc>
        <w:tc>
          <w:tcPr>
            <w:tcW w:w="1350"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0.880</w:t>
            </w:r>
          </w:p>
        </w:tc>
        <w:tc>
          <w:tcPr>
            <w:tcW w:w="1373" w:type="dxa"/>
            <w:vMerge/>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73"/>
        </w:trPr>
        <w:tc>
          <w:tcPr>
            <w:tcW w:w="1890" w:type="dxa"/>
            <w:vMerge w:val="restart"/>
            <w:shd w:val="clear" w:color="auto" w:fill="auto"/>
            <w:noWrap/>
            <w:vAlign w:val="center"/>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Sustainable Intention to Use</w:t>
            </w:r>
          </w:p>
        </w:tc>
        <w:tc>
          <w:tcPr>
            <w:tcW w:w="1170" w:type="dxa"/>
            <w:vMerge w:val="restart"/>
            <w:shd w:val="clear" w:color="auto" w:fill="auto"/>
            <w:noWrap/>
            <w:vAlign w:val="center"/>
            <w:hideMark/>
          </w:tcPr>
          <w:p w:rsidR="00DD3794" w:rsidRPr="0001112B" w:rsidRDefault="0001112B"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lang w:val="en-US"/>
              </w:rPr>
              <w:t>0.851</w:t>
            </w:r>
          </w:p>
        </w:tc>
        <w:tc>
          <w:tcPr>
            <w:tcW w:w="2003" w:type="dxa"/>
            <w:vMerge w:val="restart"/>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0.943</w:t>
            </w:r>
          </w:p>
        </w:tc>
        <w:tc>
          <w:tcPr>
            <w:tcW w:w="1664"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STI1</w:t>
            </w:r>
          </w:p>
        </w:tc>
        <w:tc>
          <w:tcPr>
            <w:tcW w:w="1350" w:type="dxa"/>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0.872</w:t>
            </w:r>
          </w:p>
        </w:tc>
        <w:tc>
          <w:tcPr>
            <w:tcW w:w="1373" w:type="dxa"/>
            <w:vMerge w:val="restart"/>
            <w:shd w:val="clear" w:color="auto" w:fill="auto"/>
            <w:noWrap/>
            <w:vAlign w:val="center"/>
            <w:hideMark/>
          </w:tcPr>
          <w:p w:rsidR="00DD3794" w:rsidRPr="0001112B" w:rsidRDefault="00DD3794" w:rsidP="0001112B">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0.853</w:t>
            </w:r>
          </w:p>
        </w:tc>
      </w:tr>
      <w:tr w:rsidR="0001112B" w:rsidRPr="0001112B" w:rsidTr="00AB4A80">
        <w:trPr>
          <w:trHeight w:val="297"/>
        </w:trPr>
        <w:tc>
          <w:tcPr>
            <w:tcW w:w="1890" w:type="dxa"/>
            <w:vMerge/>
            <w:vAlign w:val="center"/>
          </w:tcPr>
          <w:p w:rsidR="00DD3794" w:rsidRPr="0001112B" w:rsidRDefault="00DD3794" w:rsidP="00AB4D5E">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DD3794" w:rsidRPr="0001112B" w:rsidRDefault="00DD3794" w:rsidP="00AB4D5E">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DD3794" w:rsidRPr="0001112B" w:rsidRDefault="00DD3794" w:rsidP="00AB4D5E">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hideMark/>
          </w:tcPr>
          <w:p w:rsidR="00DD3794" w:rsidRPr="0001112B" w:rsidRDefault="00DD3794" w:rsidP="00AB4D5E">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STI2</w:t>
            </w:r>
          </w:p>
        </w:tc>
        <w:tc>
          <w:tcPr>
            <w:tcW w:w="1350" w:type="dxa"/>
            <w:shd w:val="clear" w:color="auto" w:fill="auto"/>
            <w:noWrap/>
            <w:vAlign w:val="center"/>
            <w:hideMark/>
          </w:tcPr>
          <w:p w:rsidR="00DD3794" w:rsidRPr="0001112B" w:rsidRDefault="00DD3794" w:rsidP="00AB4D5E">
            <w:pPr>
              <w:spacing w:after="0" w:line="360" w:lineRule="auto"/>
              <w:jc w:val="center"/>
              <w:rPr>
                <w:rFonts w:ascii="Times New Roman" w:eastAsia="Times New Roman" w:hAnsi="Times New Roman" w:cs="Times New Roman"/>
                <w:color w:val="000000" w:themeColor="text1"/>
                <w:sz w:val="24"/>
                <w:szCs w:val="24"/>
                <w:lang w:val="en-US"/>
              </w:rPr>
            </w:pPr>
            <w:r w:rsidRPr="0001112B">
              <w:rPr>
                <w:rFonts w:ascii="Times New Roman" w:eastAsia="Times New Roman" w:hAnsi="Times New Roman" w:cs="Times New Roman"/>
                <w:color w:val="000000" w:themeColor="text1"/>
                <w:sz w:val="24"/>
                <w:szCs w:val="24"/>
                <w:lang w:val="en-US"/>
              </w:rPr>
              <w:t>0.851</w:t>
            </w:r>
          </w:p>
        </w:tc>
        <w:tc>
          <w:tcPr>
            <w:tcW w:w="1373" w:type="dxa"/>
            <w:vMerge/>
            <w:shd w:val="clear" w:color="auto" w:fill="auto"/>
            <w:noWrap/>
            <w:vAlign w:val="center"/>
            <w:hideMark/>
          </w:tcPr>
          <w:p w:rsidR="00DD3794" w:rsidRPr="0001112B" w:rsidRDefault="00DD3794" w:rsidP="00AB4D5E">
            <w:pPr>
              <w:spacing w:after="0" w:line="240" w:lineRule="auto"/>
              <w:jc w:val="center"/>
              <w:rPr>
                <w:rFonts w:ascii="Times New Roman" w:eastAsia="Times New Roman" w:hAnsi="Times New Roman" w:cs="Times New Roman"/>
                <w:color w:val="000000" w:themeColor="text1"/>
                <w:sz w:val="24"/>
                <w:szCs w:val="24"/>
              </w:rPr>
            </w:pPr>
          </w:p>
        </w:tc>
      </w:tr>
      <w:tr w:rsidR="0001112B" w:rsidRPr="0001112B" w:rsidTr="00AB4A80">
        <w:trPr>
          <w:trHeight w:val="297"/>
        </w:trPr>
        <w:tc>
          <w:tcPr>
            <w:tcW w:w="1890" w:type="dxa"/>
            <w:vMerge/>
            <w:vAlign w:val="center"/>
          </w:tcPr>
          <w:p w:rsidR="00912EB0" w:rsidRPr="0001112B" w:rsidRDefault="00912EB0" w:rsidP="00AB4D5E">
            <w:pPr>
              <w:spacing w:after="0" w:line="240" w:lineRule="auto"/>
              <w:jc w:val="center"/>
              <w:rPr>
                <w:rFonts w:ascii="Times New Roman" w:eastAsia="Times New Roman" w:hAnsi="Times New Roman" w:cs="Times New Roman"/>
                <w:color w:val="000000" w:themeColor="text1"/>
                <w:sz w:val="24"/>
                <w:szCs w:val="24"/>
              </w:rPr>
            </w:pPr>
          </w:p>
        </w:tc>
        <w:tc>
          <w:tcPr>
            <w:tcW w:w="1170" w:type="dxa"/>
            <w:vMerge/>
            <w:shd w:val="clear" w:color="auto" w:fill="auto"/>
            <w:noWrap/>
            <w:vAlign w:val="center"/>
            <w:hideMark/>
          </w:tcPr>
          <w:p w:rsidR="00912EB0" w:rsidRPr="0001112B" w:rsidRDefault="00912EB0" w:rsidP="00AB4D5E">
            <w:pPr>
              <w:spacing w:after="0" w:line="240" w:lineRule="auto"/>
              <w:jc w:val="center"/>
              <w:rPr>
                <w:rFonts w:ascii="Times New Roman" w:eastAsia="Times New Roman" w:hAnsi="Times New Roman" w:cs="Times New Roman"/>
                <w:color w:val="000000" w:themeColor="text1"/>
                <w:sz w:val="24"/>
                <w:szCs w:val="24"/>
              </w:rPr>
            </w:pPr>
          </w:p>
        </w:tc>
        <w:tc>
          <w:tcPr>
            <w:tcW w:w="2003" w:type="dxa"/>
            <w:vMerge/>
            <w:shd w:val="clear" w:color="auto" w:fill="auto"/>
            <w:noWrap/>
            <w:vAlign w:val="center"/>
            <w:hideMark/>
          </w:tcPr>
          <w:p w:rsidR="00912EB0" w:rsidRPr="0001112B" w:rsidRDefault="00912EB0" w:rsidP="00AB4D5E">
            <w:pPr>
              <w:spacing w:after="0" w:line="240" w:lineRule="auto"/>
              <w:jc w:val="center"/>
              <w:rPr>
                <w:rFonts w:ascii="Times New Roman" w:eastAsia="Times New Roman" w:hAnsi="Times New Roman" w:cs="Times New Roman"/>
                <w:color w:val="000000" w:themeColor="text1"/>
                <w:sz w:val="24"/>
                <w:szCs w:val="24"/>
              </w:rPr>
            </w:pPr>
          </w:p>
        </w:tc>
        <w:tc>
          <w:tcPr>
            <w:tcW w:w="1664" w:type="dxa"/>
            <w:shd w:val="clear" w:color="auto" w:fill="auto"/>
            <w:noWrap/>
            <w:vAlign w:val="center"/>
            <w:hideMark/>
          </w:tcPr>
          <w:p w:rsidR="00912EB0" w:rsidRPr="0001112B" w:rsidRDefault="00F82F00" w:rsidP="00AB4D5E">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rPr>
              <w:t>STI3</w:t>
            </w:r>
          </w:p>
        </w:tc>
        <w:tc>
          <w:tcPr>
            <w:tcW w:w="1350" w:type="dxa"/>
            <w:shd w:val="clear" w:color="auto" w:fill="auto"/>
            <w:noWrap/>
            <w:vAlign w:val="center"/>
            <w:hideMark/>
          </w:tcPr>
          <w:p w:rsidR="00912EB0" w:rsidRPr="0001112B" w:rsidRDefault="00DD3794" w:rsidP="00AB4D5E">
            <w:pPr>
              <w:spacing w:after="0" w:line="240" w:lineRule="auto"/>
              <w:jc w:val="center"/>
              <w:rPr>
                <w:rFonts w:ascii="Times New Roman" w:eastAsia="Times New Roman" w:hAnsi="Times New Roman" w:cs="Times New Roman"/>
                <w:color w:val="000000" w:themeColor="text1"/>
                <w:sz w:val="24"/>
                <w:szCs w:val="24"/>
              </w:rPr>
            </w:pPr>
            <w:r w:rsidRPr="0001112B">
              <w:rPr>
                <w:rFonts w:ascii="Times New Roman" w:eastAsia="Times New Roman" w:hAnsi="Times New Roman" w:cs="Times New Roman"/>
                <w:color w:val="000000" w:themeColor="text1"/>
                <w:sz w:val="24"/>
                <w:szCs w:val="24"/>
                <w:lang w:val="en-US"/>
              </w:rPr>
              <w:t>0.908</w:t>
            </w:r>
          </w:p>
        </w:tc>
        <w:tc>
          <w:tcPr>
            <w:tcW w:w="1373" w:type="dxa"/>
            <w:vMerge/>
            <w:shd w:val="clear" w:color="auto" w:fill="auto"/>
            <w:noWrap/>
            <w:vAlign w:val="center"/>
            <w:hideMark/>
          </w:tcPr>
          <w:p w:rsidR="00912EB0" w:rsidRPr="0001112B" w:rsidRDefault="00912EB0" w:rsidP="00AB4D5E">
            <w:pPr>
              <w:spacing w:after="0" w:line="240" w:lineRule="auto"/>
              <w:jc w:val="center"/>
              <w:rPr>
                <w:rFonts w:ascii="Times New Roman" w:eastAsia="Times New Roman" w:hAnsi="Times New Roman" w:cs="Times New Roman"/>
                <w:color w:val="000000" w:themeColor="text1"/>
                <w:sz w:val="24"/>
                <w:szCs w:val="24"/>
              </w:rPr>
            </w:pPr>
          </w:p>
        </w:tc>
      </w:tr>
    </w:tbl>
    <w:p w:rsidR="00F263A6" w:rsidRPr="00F96FC1" w:rsidRDefault="00F263A6" w:rsidP="00F263A6">
      <w:pPr>
        <w:spacing w:before="100" w:beforeAutospacing="1" w:after="100" w:afterAutospacing="1" w:line="360" w:lineRule="auto"/>
        <w:jc w:val="both"/>
        <w:rPr>
          <w:rFonts w:ascii="Times New Roman" w:eastAsia="Times New Roman" w:hAnsi="Times New Roman" w:cs="Times New Roman"/>
          <w:sz w:val="24"/>
          <w:szCs w:val="24"/>
          <w:lang w:val="en-US"/>
        </w:rPr>
      </w:pPr>
      <w:r w:rsidRPr="00F96FC1">
        <w:rPr>
          <w:rFonts w:ascii="Times New Roman" w:eastAsia="Times New Roman" w:hAnsi="Times New Roman" w:cs="Times New Roman"/>
          <w:sz w:val="24"/>
          <w:szCs w:val="24"/>
          <w:lang w:val="en-US"/>
        </w:rPr>
        <w:t xml:space="preserve">The results demonstrate strong reliability and validity across all constructs, with Composite Reliability (CR) values exceeding 0.7. </w:t>
      </w:r>
      <w:r w:rsidRPr="00F96FC1">
        <w:rPr>
          <w:rFonts w:ascii="Times New Roman" w:eastAsia="Times New Roman" w:hAnsi="Times New Roman" w:cs="Times New Roman"/>
          <w:bCs/>
          <w:sz w:val="24"/>
          <w:szCs w:val="24"/>
          <w:lang w:val="en-US"/>
        </w:rPr>
        <w:t>Users’ Experiences</w:t>
      </w:r>
      <w:r w:rsidRPr="00F96FC1">
        <w:rPr>
          <w:rFonts w:ascii="Times New Roman" w:eastAsia="Times New Roman" w:hAnsi="Times New Roman" w:cs="Times New Roman"/>
          <w:sz w:val="24"/>
          <w:szCs w:val="24"/>
          <w:lang w:val="en-US"/>
        </w:rPr>
        <w:t xml:space="preserve"> has the highest CR (0.963), while </w:t>
      </w:r>
      <w:r w:rsidRPr="00F96FC1">
        <w:rPr>
          <w:rFonts w:ascii="Times New Roman" w:eastAsia="Times New Roman" w:hAnsi="Times New Roman" w:cs="Times New Roman"/>
          <w:bCs/>
          <w:sz w:val="24"/>
          <w:szCs w:val="24"/>
          <w:lang w:val="en-US"/>
        </w:rPr>
        <w:t>Sustainable Intention to Use</w:t>
      </w:r>
      <w:r w:rsidRPr="00F96FC1">
        <w:rPr>
          <w:rFonts w:ascii="Times New Roman" w:eastAsia="Times New Roman" w:hAnsi="Times New Roman" w:cs="Times New Roman"/>
          <w:sz w:val="24"/>
          <w:szCs w:val="24"/>
          <w:lang w:val="en-US"/>
        </w:rPr>
        <w:t xml:space="preserve"> and </w:t>
      </w:r>
      <w:r w:rsidRPr="00F96FC1">
        <w:rPr>
          <w:rFonts w:ascii="Times New Roman" w:eastAsia="Times New Roman" w:hAnsi="Times New Roman" w:cs="Times New Roman"/>
          <w:bCs/>
          <w:sz w:val="24"/>
          <w:szCs w:val="24"/>
          <w:lang w:val="en-US"/>
        </w:rPr>
        <w:t>Confirmation</w:t>
      </w:r>
      <w:r w:rsidRPr="00F96FC1">
        <w:rPr>
          <w:rFonts w:ascii="Times New Roman" w:eastAsia="Times New Roman" w:hAnsi="Times New Roman" w:cs="Times New Roman"/>
          <w:sz w:val="24"/>
          <w:szCs w:val="24"/>
          <w:lang w:val="en-US"/>
        </w:rPr>
        <w:t xml:space="preserve"> also show high reliability (0.943 and 0.941, respectively). Although </w:t>
      </w:r>
      <w:r w:rsidRPr="00F96FC1">
        <w:rPr>
          <w:rFonts w:ascii="Times New Roman" w:eastAsia="Times New Roman" w:hAnsi="Times New Roman" w:cs="Times New Roman"/>
          <w:bCs/>
          <w:sz w:val="24"/>
          <w:szCs w:val="24"/>
          <w:lang w:val="en-US"/>
        </w:rPr>
        <w:t>Trust</w:t>
      </w:r>
      <w:r w:rsidRPr="00F96FC1">
        <w:rPr>
          <w:rFonts w:ascii="Times New Roman" w:eastAsia="Times New Roman" w:hAnsi="Times New Roman" w:cs="Times New Roman"/>
          <w:sz w:val="24"/>
          <w:szCs w:val="24"/>
          <w:lang w:val="en-US"/>
        </w:rPr>
        <w:t xml:space="preserve"> has the lowest CR (0.805), it still meets the acceptable threshold. Indicator loadings mostly exceed the 0.7 standard, further supporting the reliability of individual items. The lowest loading, </w:t>
      </w:r>
      <w:r w:rsidRPr="00F96FC1">
        <w:rPr>
          <w:rFonts w:ascii="Times New Roman" w:eastAsia="Times New Roman" w:hAnsi="Times New Roman" w:cs="Times New Roman"/>
          <w:bCs/>
          <w:sz w:val="24"/>
          <w:szCs w:val="24"/>
          <w:lang w:val="en-US"/>
        </w:rPr>
        <w:t>CF4 in Confirmation</w:t>
      </w:r>
      <w:r w:rsidRPr="00F96FC1">
        <w:rPr>
          <w:rFonts w:ascii="Times New Roman" w:eastAsia="Times New Roman" w:hAnsi="Times New Roman" w:cs="Times New Roman"/>
          <w:sz w:val="24"/>
          <w:szCs w:val="24"/>
          <w:lang w:val="en-US"/>
        </w:rPr>
        <w:t xml:space="preserve"> (0.794), is close to the acceptable level. The Average Variance Extracted (AVE) values also surpass the 0.5 threshold, indicating sufficient convergent validity. </w:t>
      </w:r>
      <w:r w:rsidRPr="00F96FC1">
        <w:rPr>
          <w:rFonts w:ascii="Times New Roman" w:eastAsia="Times New Roman" w:hAnsi="Times New Roman" w:cs="Times New Roman"/>
          <w:bCs/>
          <w:sz w:val="24"/>
          <w:szCs w:val="24"/>
          <w:lang w:val="en-US"/>
        </w:rPr>
        <w:t>Users' Experiences</w:t>
      </w:r>
      <w:r w:rsidRPr="00F96FC1">
        <w:rPr>
          <w:rFonts w:ascii="Times New Roman" w:eastAsia="Times New Roman" w:hAnsi="Times New Roman" w:cs="Times New Roman"/>
          <w:sz w:val="24"/>
          <w:szCs w:val="24"/>
          <w:lang w:val="en-US"/>
        </w:rPr>
        <w:t xml:space="preserve"> has the highest AVE (0.895), and </w:t>
      </w:r>
      <w:r w:rsidRPr="00F96FC1">
        <w:rPr>
          <w:rFonts w:ascii="Times New Roman" w:eastAsia="Times New Roman" w:hAnsi="Times New Roman" w:cs="Times New Roman"/>
          <w:bCs/>
          <w:sz w:val="24"/>
          <w:szCs w:val="24"/>
          <w:lang w:val="en-US"/>
        </w:rPr>
        <w:t>Perceived Ease of Use</w:t>
      </w:r>
      <w:r w:rsidRPr="00F96FC1">
        <w:rPr>
          <w:rFonts w:ascii="Times New Roman" w:eastAsia="Times New Roman" w:hAnsi="Times New Roman" w:cs="Times New Roman"/>
          <w:sz w:val="24"/>
          <w:szCs w:val="24"/>
          <w:lang w:val="en-US"/>
        </w:rPr>
        <w:t xml:space="preserve">, the lowest (0.656), still meets the standard. Overall, the constructs demonstrate strong internal consistency, reliability, and convergent validity, providing a solid foundation for further analysis of the relationships between constructs like </w:t>
      </w:r>
      <w:r w:rsidRPr="00F96FC1">
        <w:rPr>
          <w:rFonts w:ascii="Times New Roman" w:eastAsia="Times New Roman" w:hAnsi="Times New Roman" w:cs="Times New Roman"/>
          <w:bCs/>
          <w:sz w:val="24"/>
          <w:szCs w:val="24"/>
          <w:lang w:val="en-US"/>
        </w:rPr>
        <w:t>Satisfaction</w:t>
      </w:r>
      <w:r w:rsidRPr="00F96FC1">
        <w:rPr>
          <w:rFonts w:ascii="Times New Roman" w:eastAsia="Times New Roman" w:hAnsi="Times New Roman" w:cs="Times New Roman"/>
          <w:sz w:val="24"/>
          <w:szCs w:val="24"/>
          <w:lang w:val="en-US"/>
        </w:rPr>
        <w:t xml:space="preserve">, </w:t>
      </w:r>
      <w:r w:rsidRPr="00F96FC1">
        <w:rPr>
          <w:rFonts w:ascii="Times New Roman" w:eastAsia="Times New Roman" w:hAnsi="Times New Roman" w:cs="Times New Roman"/>
          <w:bCs/>
          <w:sz w:val="24"/>
          <w:szCs w:val="24"/>
          <w:lang w:val="en-US"/>
        </w:rPr>
        <w:t>Trust</w:t>
      </w:r>
      <w:r w:rsidRPr="00F96FC1">
        <w:rPr>
          <w:rFonts w:ascii="Times New Roman" w:eastAsia="Times New Roman" w:hAnsi="Times New Roman" w:cs="Times New Roman"/>
          <w:sz w:val="24"/>
          <w:szCs w:val="24"/>
          <w:lang w:val="en-US"/>
        </w:rPr>
        <w:t xml:space="preserve">, and </w:t>
      </w:r>
      <w:r w:rsidRPr="00F96FC1">
        <w:rPr>
          <w:rFonts w:ascii="Times New Roman" w:eastAsia="Times New Roman" w:hAnsi="Times New Roman" w:cs="Times New Roman"/>
          <w:bCs/>
          <w:sz w:val="24"/>
          <w:szCs w:val="24"/>
          <w:lang w:val="en-US"/>
        </w:rPr>
        <w:t>Sustainable Intention to Use</w:t>
      </w:r>
      <w:r w:rsidRPr="00F96FC1">
        <w:rPr>
          <w:rFonts w:ascii="Times New Roman" w:eastAsia="Times New Roman" w:hAnsi="Times New Roman" w:cs="Times New Roman"/>
          <w:sz w:val="24"/>
          <w:szCs w:val="24"/>
          <w:lang w:val="en-US"/>
        </w:rPr>
        <w:t>.</w:t>
      </w:r>
    </w:p>
    <w:p w:rsidR="00CF330C" w:rsidRDefault="00CF330C" w:rsidP="00CF330C">
      <w:pPr>
        <w:spacing w:before="100" w:beforeAutospacing="1" w:after="100" w:afterAutospacing="1" w:line="240" w:lineRule="auto"/>
        <w:rPr>
          <w:rFonts w:ascii="Times New Roman" w:eastAsia="Times New Roman" w:hAnsi="Times New Roman" w:cs="Times New Roman"/>
          <w:sz w:val="24"/>
          <w:szCs w:val="24"/>
          <w:lang w:val="en-US"/>
        </w:rPr>
      </w:pPr>
      <w:r w:rsidRPr="00CF330C">
        <w:rPr>
          <w:rFonts w:ascii="Times New Roman" w:eastAsia="Times New Roman" w:hAnsi="Times New Roman" w:cs="Times New Roman"/>
          <w:b/>
          <w:sz w:val="24"/>
          <w:szCs w:val="24"/>
          <w:lang w:val="en-US"/>
        </w:rPr>
        <w:t>Discriminant Validity</w:t>
      </w:r>
      <w:r>
        <w:rPr>
          <w:rFonts w:ascii="Times New Roman" w:eastAsia="Times New Roman" w:hAnsi="Times New Roman" w:cs="Times New Roman"/>
          <w:sz w:val="24"/>
          <w:szCs w:val="24"/>
          <w:lang w:val="en-US"/>
        </w:rPr>
        <w:t>:</w:t>
      </w:r>
    </w:p>
    <w:p w:rsidR="001E4526" w:rsidRDefault="001E4526" w:rsidP="001E4526">
      <w:pPr>
        <w:spacing w:before="100" w:beforeAutospacing="1" w:after="100" w:afterAutospacing="1" w:line="360" w:lineRule="auto"/>
        <w:jc w:val="both"/>
        <w:rPr>
          <w:rFonts w:ascii="Times New Roman" w:hAnsi="Times New Roman" w:cs="Times New Roman"/>
          <w:sz w:val="24"/>
          <w:szCs w:val="24"/>
        </w:rPr>
      </w:pPr>
      <w:r w:rsidRPr="001E4526">
        <w:rPr>
          <w:rFonts w:ascii="Times New Roman" w:hAnsi="Times New Roman" w:cs="Times New Roman"/>
          <w:sz w:val="24"/>
          <w:szCs w:val="24"/>
        </w:rPr>
        <w:t>The HTMT analysis reveals that most constructs exhibit acceptable discriminant validity, with values generally below 0.85. However, a significant issue arises with the high HTMT value of 1.153 between Perceived Ease of Use (PEU) and Perceived Usefulness (PU), indicating a potential overlap between these constructs. This suggests they may be measuring similar or indistinct concepts, necessitating further investigation. Possible actions include revisiting item loadings or refining the conceptual distinctions between PEU and PU. Despite this, other constructs show sufficient discriminant validity. For instance, Satisfaction (SAT) and Sustainable Intention to Use (STI) are distinct with an HTMT of 0.848, though close to the threshold. Trust (TR) and Confirmation (CF) have an HTMT of 0.89, raising minor concerns but staying within acceptable limits. Addressing the PEU and PU issue will improve the model's overall reliability and validity.</w:t>
      </w:r>
    </w:p>
    <w:p w:rsidR="002D3190" w:rsidRPr="00CF330C" w:rsidRDefault="00967F2A" w:rsidP="00617C74">
      <w:pPr>
        <w:spacing w:before="100" w:beforeAutospacing="1" w:after="100" w:afterAutospacing="1" w:line="240" w:lineRule="auto"/>
        <w:jc w:val="center"/>
        <w:rPr>
          <w:rFonts w:ascii="Times New Roman" w:eastAsia="Times New Roman" w:hAnsi="Times New Roman" w:cs="Times New Roman"/>
          <w:b/>
          <w:sz w:val="24"/>
          <w:szCs w:val="24"/>
          <w:lang w:val="en-US"/>
        </w:rPr>
      </w:pPr>
      <w:proofErr w:type="gramStart"/>
      <w:r>
        <w:rPr>
          <w:rFonts w:ascii="Times New Roman" w:eastAsia="Times New Roman" w:hAnsi="Times New Roman" w:cs="Times New Roman"/>
          <w:b/>
          <w:sz w:val="24"/>
          <w:szCs w:val="24"/>
          <w:lang w:val="en-US"/>
        </w:rPr>
        <w:t xml:space="preserve">Table </w:t>
      </w:r>
      <w:r w:rsidR="002D3190" w:rsidRPr="00617C74">
        <w:rPr>
          <w:rFonts w:ascii="Times New Roman" w:eastAsia="Times New Roman" w:hAnsi="Times New Roman" w:cs="Times New Roman"/>
          <w:b/>
          <w:sz w:val="24"/>
          <w:szCs w:val="24"/>
          <w:lang w:val="en-US"/>
        </w:rPr>
        <w:t>:</w:t>
      </w:r>
      <w:proofErr w:type="gramEnd"/>
      <w:r w:rsidR="002D3190" w:rsidRPr="00617C74">
        <w:rPr>
          <w:rFonts w:ascii="Times New Roman" w:eastAsia="Times New Roman" w:hAnsi="Times New Roman" w:cs="Times New Roman"/>
          <w:b/>
          <w:sz w:val="24"/>
          <w:szCs w:val="24"/>
          <w:lang w:val="en-US"/>
        </w:rPr>
        <w:t xml:space="preserve"> </w:t>
      </w:r>
      <w:proofErr w:type="spellStart"/>
      <w:r w:rsidRPr="00967F2A">
        <w:rPr>
          <w:rFonts w:ascii="Times New Roman" w:hAnsi="Times New Roman" w:cs="Times New Roman"/>
          <w:b/>
          <w:sz w:val="24"/>
          <w:szCs w:val="24"/>
        </w:rPr>
        <w:t>Heterotrait-Monotrait</w:t>
      </w:r>
      <w:proofErr w:type="spellEnd"/>
      <w:r w:rsidRPr="00967F2A">
        <w:rPr>
          <w:rFonts w:ascii="Times New Roman" w:hAnsi="Times New Roman" w:cs="Times New Roman"/>
          <w:b/>
          <w:sz w:val="24"/>
          <w:szCs w:val="24"/>
        </w:rPr>
        <w:t xml:space="preserve"> Ratio of Correlations</w:t>
      </w:r>
    </w:p>
    <w:tbl>
      <w:tblPr>
        <w:tblW w:w="8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1258"/>
        <w:gridCol w:w="1465"/>
        <w:gridCol w:w="1217"/>
        <w:gridCol w:w="989"/>
        <w:gridCol w:w="989"/>
        <w:gridCol w:w="989"/>
        <w:gridCol w:w="989"/>
      </w:tblGrid>
      <w:tr w:rsidR="002D3190" w:rsidRPr="002D3190" w:rsidTr="002D3190">
        <w:trPr>
          <w:trHeight w:val="282"/>
        </w:trPr>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sz w:val="20"/>
                <w:szCs w:val="20"/>
                <w:lang w:val="en-US"/>
              </w:rPr>
            </w:pPr>
          </w:p>
        </w:tc>
        <w:tc>
          <w:tcPr>
            <w:tcW w:w="1258"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CF</w:t>
            </w:r>
          </w:p>
        </w:tc>
        <w:tc>
          <w:tcPr>
            <w:tcW w:w="1465"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PEU</w:t>
            </w:r>
          </w:p>
        </w:tc>
        <w:tc>
          <w:tcPr>
            <w:tcW w:w="1217"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PU</w:t>
            </w:r>
          </w:p>
        </w:tc>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SAT</w:t>
            </w:r>
          </w:p>
        </w:tc>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STI</w:t>
            </w:r>
          </w:p>
        </w:tc>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TR</w:t>
            </w:r>
          </w:p>
        </w:tc>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UEX</w:t>
            </w:r>
          </w:p>
        </w:tc>
      </w:tr>
      <w:tr w:rsidR="002D3190" w:rsidRPr="002D3190" w:rsidTr="002D3190">
        <w:trPr>
          <w:trHeight w:val="282"/>
        </w:trPr>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CF</w:t>
            </w:r>
          </w:p>
        </w:tc>
        <w:tc>
          <w:tcPr>
            <w:tcW w:w="1258"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1465"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1217"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r>
      <w:tr w:rsidR="002D3190" w:rsidRPr="002D3190" w:rsidTr="002D3190">
        <w:trPr>
          <w:trHeight w:val="282"/>
        </w:trPr>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PEU</w:t>
            </w:r>
          </w:p>
        </w:tc>
        <w:tc>
          <w:tcPr>
            <w:tcW w:w="1258"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0.851</w:t>
            </w:r>
          </w:p>
        </w:tc>
        <w:tc>
          <w:tcPr>
            <w:tcW w:w="1465"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1217"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r>
      <w:tr w:rsidR="002D3190" w:rsidRPr="002D3190" w:rsidTr="002D3190">
        <w:trPr>
          <w:trHeight w:val="282"/>
        </w:trPr>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PU</w:t>
            </w:r>
          </w:p>
        </w:tc>
        <w:tc>
          <w:tcPr>
            <w:tcW w:w="1258"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0.823</w:t>
            </w:r>
          </w:p>
        </w:tc>
        <w:tc>
          <w:tcPr>
            <w:tcW w:w="1465" w:type="dxa"/>
            <w:shd w:val="clear" w:color="auto" w:fill="auto"/>
            <w:noWrap/>
            <w:vAlign w:val="bottom"/>
            <w:hideMark/>
          </w:tcPr>
          <w:p w:rsidR="003A252E" w:rsidRPr="002D3190" w:rsidRDefault="002D3190"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0.773</w:t>
            </w:r>
          </w:p>
        </w:tc>
        <w:tc>
          <w:tcPr>
            <w:tcW w:w="1217"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r>
      <w:tr w:rsidR="002D3190" w:rsidRPr="002D3190" w:rsidTr="002D3190">
        <w:trPr>
          <w:trHeight w:val="282"/>
        </w:trPr>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SAT</w:t>
            </w:r>
          </w:p>
        </w:tc>
        <w:tc>
          <w:tcPr>
            <w:tcW w:w="1258"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0.774</w:t>
            </w:r>
          </w:p>
        </w:tc>
        <w:tc>
          <w:tcPr>
            <w:tcW w:w="1465"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0.673</w:t>
            </w:r>
          </w:p>
        </w:tc>
        <w:tc>
          <w:tcPr>
            <w:tcW w:w="1217"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0.680</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r>
      <w:tr w:rsidR="002D3190" w:rsidRPr="002D3190" w:rsidTr="002D3190">
        <w:trPr>
          <w:trHeight w:val="282"/>
        </w:trPr>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STI</w:t>
            </w:r>
          </w:p>
        </w:tc>
        <w:tc>
          <w:tcPr>
            <w:tcW w:w="1258"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0.750</w:t>
            </w:r>
          </w:p>
        </w:tc>
        <w:tc>
          <w:tcPr>
            <w:tcW w:w="1465"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0.639</w:t>
            </w:r>
          </w:p>
        </w:tc>
        <w:tc>
          <w:tcPr>
            <w:tcW w:w="1217"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0.651</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0.848</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r>
      <w:tr w:rsidR="002D3190" w:rsidRPr="002D3190" w:rsidTr="002D3190">
        <w:trPr>
          <w:trHeight w:val="282"/>
        </w:trPr>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TR</w:t>
            </w:r>
          </w:p>
        </w:tc>
        <w:tc>
          <w:tcPr>
            <w:tcW w:w="1258"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0.890</w:t>
            </w:r>
          </w:p>
        </w:tc>
        <w:tc>
          <w:tcPr>
            <w:tcW w:w="1465"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0.749</w:t>
            </w:r>
          </w:p>
        </w:tc>
        <w:tc>
          <w:tcPr>
            <w:tcW w:w="1217"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0.736</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0.739</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0.709</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r>
      <w:tr w:rsidR="002D3190" w:rsidRPr="002D3190" w:rsidTr="002D3190">
        <w:trPr>
          <w:trHeight w:val="282"/>
        </w:trPr>
        <w:tc>
          <w:tcPr>
            <w:tcW w:w="989"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themeColor="text1"/>
                <w:lang w:val="en-US"/>
              </w:rPr>
            </w:pPr>
            <w:r w:rsidRPr="00F96FC1">
              <w:rPr>
                <w:rFonts w:ascii="Times New Roman" w:eastAsia="Times New Roman" w:hAnsi="Times New Roman" w:cs="Times New Roman"/>
                <w:b/>
                <w:color w:val="000000" w:themeColor="text1"/>
                <w:lang w:val="en-US"/>
              </w:rPr>
              <w:t>UEX</w:t>
            </w:r>
          </w:p>
        </w:tc>
        <w:tc>
          <w:tcPr>
            <w:tcW w:w="1258"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0.862</w:t>
            </w:r>
          </w:p>
        </w:tc>
        <w:tc>
          <w:tcPr>
            <w:tcW w:w="1465"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0.654</w:t>
            </w:r>
          </w:p>
        </w:tc>
        <w:tc>
          <w:tcPr>
            <w:tcW w:w="1217"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0.635</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0.762</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0.704</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0.785</w:t>
            </w:r>
          </w:p>
        </w:tc>
        <w:tc>
          <w:tcPr>
            <w:tcW w:w="989" w:type="dxa"/>
            <w:shd w:val="clear" w:color="auto" w:fill="auto"/>
            <w:noWrap/>
            <w:vAlign w:val="bottom"/>
            <w:hideMark/>
          </w:tcPr>
          <w:p w:rsidR="003A252E" w:rsidRPr="002D3190" w:rsidRDefault="003A252E" w:rsidP="00F96FC1">
            <w:pPr>
              <w:spacing w:after="0" w:line="240" w:lineRule="auto"/>
              <w:jc w:val="both"/>
              <w:rPr>
                <w:rFonts w:ascii="Times New Roman" w:eastAsia="Times New Roman" w:hAnsi="Times New Roman" w:cs="Times New Roman"/>
                <w:color w:val="000000" w:themeColor="text1"/>
                <w:lang w:val="en-US"/>
              </w:rPr>
            </w:pPr>
            <w:r w:rsidRPr="002D3190">
              <w:rPr>
                <w:rFonts w:ascii="Times New Roman" w:eastAsia="Times New Roman" w:hAnsi="Times New Roman" w:cs="Times New Roman"/>
                <w:color w:val="000000" w:themeColor="text1"/>
                <w:lang w:val="en-US"/>
              </w:rPr>
              <w:t> </w:t>
            </w:r>
          </w:p>
        </w:tc>
      </w:tr>
    </w:tbl>
    <w:p w:rsidR="00723298" w:rsidRDefault="00723298" w:rsidP="00D2103F">
      <w:pPr>
        <w:spacing w:line="360" w:lineRule="auto"/>
        <w:jc w:val="both"/>
        <w:rPr>
          <w:rFonts w:ascii="Times New Roman" w:hAnsi="Times New Roman" w:cs="Times New Roman"/>
          <w:sz w:val="24"/>
          <w:szCs w:val="24"/>
        </w:rPr>
      </w:pPr>
    </w:p>
    <w:p w:rsidR="001E4526" w:rsidRPr="00BA4F9D" w:rsidRDefault="001E4526" w:rsidP="001E4526">
      <w:pPr>
        <w:spacing w:line="360" w:lineRule="auto"/>
        <w:ind w:firstLine="720"/>
        <w:jc w:val="both"/>
        <w:rPr>
          <w:rFonts w:ascii="Times New Roman" w:eastAsia="Times New Roman" w:hAnsi="Times New Roman"/>
          <w:bCs/>
          <w:noProof/>
          <w:color w:val="000000"/>
          <w:sz w:val="24"/>
          <w:szCs w:val="24"/>
        </w:rPr>
      </w:pPr>
      <w:r w:rsidRPr="00BA4F9D">
        <w:rPr>
          <w:rFonts w:ascii="Times New Roman" w:eastAsia="Times New Roman" w:hAnsi="Times New Roman"/>
          <w:bCs/>
          <w:noProof/>
          <w:color w:val="000000"/>
          <w:sz w:val="24"/>
          <w:szCs w:val="24"/>
        </w:rPr>
        <w:t>Discriminant validity was assessed using two criteria. First, the Fornell and Larcker [90] criterion was applied, which requires that the square root of the AVE for each construct be greater than its correlation with any other construct in the model. As shown in Table 3, this condition was met, confirming discriminant validity.</w:t>
      </w:r>
    </w:p>
    <w:p w:rsidR="00816C58" w:rsidRPr="00CF330C" w:rsidRDefault="009D72EB" w:rsidP="0049185D">
      <w:pPr>
        <w:spacing w:before="100" w:beforeAutospacing="1" w:after="100" w:afterAutospacing="1" w:line="240" w:lineRule="auto"/>
        <w:jc w:val="center"/>
        <w:rPr>
          <w:rFonts w:ascii="Times New Roman" w:eastAsia="Times New Roman" w:hAnsi="Times New Roman" w:cs="Times New Roman"/>
          <w:b/>
          <w:sz w:val="24"/>
          <w:szCs w:val="24"/>
          <w:lang w:val="en-US"/>
        </w:rPr>
      </w:pPr>
      <w:r w:rsidRPr="0049185D">
        <w:rPr>
          <w:rFonts w:ascii="Times New Roman" w:eastAsia="Times New Roman" w:hAnsi="Times New Roman" w:cs="Times New Roman"/>
          <w:b/>
          <w:sz w:val="24"/>
          <w:szCs w:val="24"/>
          <w:lang w:val="en-US"/>
        </w:rPr>
        <w:t>Table:</w:t>
      </w:r>
      <w:r w:rsidR="0049185D" w:rsidRPr="0049185D">
        <w:rPr>
          <w:rFonts w:ascii="Times New Roman" w:eastAsia="Times New Roman" w:hAnsi="Times New Roman" w:cs="Times New Roman"/>
          <w:b/>
          <w:sz w:val="24"/>
          <w:szCs w:val="24"/>
          <w:lang w:val="en-US"/>
        </w:rPr>
        <w:t xml:space="preserve"> Square Root of AVE</w:t>
      </w:r>
    </w:p>
    <w:tbl>
      <w:tblPr>
        <w:tblW w:w="846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1170"/>
        <w:gridCol w:w="1080"/>
        <w:gridCol w:w="990"/>
        <w:gridCol w:w="810"/>
        <w:gridCol w:w="990"/>
        <w:gridCol w:w="1260"/>
      </w:tblGrid>
      <w:tr w:rsidR="00D2103F" w:rsidRPr="0049185D" w:rsidTr="0049185D">
        <w:trPr>
          <w:trHeight w:val="288"/>
        </w:trPr>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lang w:val="en-US"/>
              </w:rPr>
            </w:pPr>
          </w:p>
        </w:tc>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CF</w:t>
            </w:r>
          </w:p>
        </w:tc>
        <w:tc>
          <w:tcPr>
            <w:tcW w:w="117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PEU</w:t>
            </w:r>
          </w:p>
        </w:tc>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PU</w:t>
            </w:r>
          </w:p>
        </w:tc>
        <w:tc>
          <w:tcPr>
            <w:tcW w:w="99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SAT</w:t>
            </w:r>
          </w:p>
        </w:tc>
        <w:tc>
          <w:tcPr>
            <w:tcW w:w="81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STI</w:t>
            </w:r>
          </w:p>
        </w:tc>
        <w:tc>
          <w:tcPr>
            <w:tcW w:w="99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TR</w:t>
            </w:r>
          </w:p>
        </w:tc>
        <w:tc>
          <w:tcPr>
            <w:tcW w:w="126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UEX</w:t>
            </w:r>
          </w:p>
        </w:tc>
      </w:tr>
      <w:tr w:rsidR="00D2103F" w:rsidRPr="0049185D" w:rsidTr="0049185D">
        <w:trPr>
          <w:trHeight w:val="288"/>
        </w:trPr>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CF</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b/>
                <w:color w:val="000000"/>
                <w:lang w:val="en-US"/>
              </w:rPr>
            </w:pPr>
            <w:r w:rsidRPr="0049185D">
              <w:rPr>
                <w:rFonts w:ascii="Times New Roman" w:eastAsia="Times New Roman" w:hAnsi="Times New Roman" w:cs="Times New Roman"/>
                <w:b/>
                <w:color w:val="000000"/>
                <w:lang w:val="en-US"/>
              </w:rPr>
              <w:t>0.837</w:t>
            </w:r>
          </w:p>
        </w:tc>
        <w:tc>
          <w:tcPr>
            <w:tcW w:w="117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81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126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r>
      <w:tr w:rsidR="00D2103F" w:rsidRPr="0049185D" w:rsidTr="0049185D">
        <w:trPr>
          <w:trHeight w:val="288"/>
        </w:trPr>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PEU</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0.730</w:t>
            </w:r>
          </w:p>
        </w:tc>
        <w:tc>
          <w:tcPr>
            <w:tcW w:w="117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b/>
                <w:color w:val="000000"/>
                <w:lang w:val="en-US"/>
              </w:rPr>
            </w:pPr>
            <w:r w:rsidRPr="0049185D">
              <w:rPr>
                <w:rFonts w:ascii="Times New Roman" w:eastAsia="Times New Roman" w:hAnsi="Times New Roman" w:cs="Times New Roman"/>
                <w:b/>
                <w:color w:val="000000"/>
                <w:lang w:val="en-US"/>
              </w:rPr>
              <w:t>0.843</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81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126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r>
      <w:tr w:rsidR="00D2103F" w:rsidRPr="0049185D" w:rsidTr="0049185D">
        <w:trPr>
          <w:trHeight w:val="288"/>
        </w:trPr>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PU</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0.694</w:t>
            </w:r>
          </w:p>
        </w:tc>
        <w:tc>
          <w:tcPr>
            <w:tcW w:w="117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0.980</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b/>
                <w:color w:val="000000"/>
                <w:lang w:val="en-US"/>
              </w:rPr>
            </w:pPr>
            <w:r w:rsidRPr="0049185D">
              <w:rPr>
                <w:rFonts w:ascii="Times New Roman" w:eastAsia="Times New Roman" w:hAnsi="Times New Roman" w:cs="Times New Roman"/>
                <w:b/>
                <w:color w:val="000000"/>
                <w:lang w:val="en-US"/>
              </w:rPr>
              <w:t>0.865</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81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126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r>
      <w:tr w:rsidR="00D2103F" w:rsidRPr="0049185D" w:rsidTr="0049185D">
        <w:trPr>
          <w:trHeight w:val="288"/>
        </w:trPr>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SAT</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0.668</w:t>
            </w:r>
          </w:p>
        </w:tc>
        <w:tc>
          <w:tcPr>
            <w:tcW w:w="117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0.585</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0.579</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b/>
                <w:color w:val="000000"/>
                <w:lang w:val="en-US"/>
              </w:rPr>
            </w:pPr>
            <w:r w:rsidRPr="0049185D">
              <w:rPr>
                <w:rFonts w:ascii="Times New Roman" w:eastAsia="Times New Roman" w:hAnsi="Times New Roman" w:cs="Times New Roman"/>
                <w:b/>
                <w:color w:val="000000"/>
                <w:lang w:val="en-US"/>
              </w:rPr>
              <w:t>0.836</w:t>
            </w:r>
          </w:p>
        </w:tc>
        <w:tc>
          <w:tcPr>
            <w:tcW w:w="81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126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r>
      <w:tr w:rsidR="00D2103F" w:rsidRPr="0049185D" w:rsidTr="0049185D">
        <w:trPr>
          <w:trHeight w:val="288"/>
        </w:trPr>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STI</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0.643</w:t>
            </w:r>
          </w:p>
        </w:tc>
        <w:tc>
          <w:tcPr>
            <w:tcW w:w="117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0.548</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0.546</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0.732</w:t>
            </w:r>
          </w:p>
        </w:tc>
        <w:tc>
          <w:tcPr>
            <w:tcW w:w="81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b/>
                <w:color w:val="000000"/>
                <w:lang w:val="en-US"/>
              </w:rPr>
            </w:pPr>
            <w:r w:rsidRPr="0049185D">
              <w:rPr>
                <w:rFonts w:ascii="Times New Roman" w:eastAsia="Times New Roman" w:hAnsi="Times New Roman" w:cs="Times New Roman"/>
                <w:b/>
                <w:color w:val="000000"/>
                <w:lang w:val="en-US"/>
              </w:rPr>
              <w:t>0.877</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c>
          <w:tcPr>
            <w:tcW w:w="126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r>
      <w:tr w:rsidR="00D2103F" w:rsidRPr="0049185D" w:rsidTr="0049185D">
        <w:trPr>
          <w:trHeight w:val="288"/>
        </w:trPr>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TR</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0.753</w:t>
            </w:r>
          </w:p>
        </w:tc>
        <w:tc>
          <w:tcPr>
            <w:tcW w:w="117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0.636</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0.613</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0.630</w:t>
            </w:r>
          </w:p>
        </w:tc>
        <w:tc>
          <w:tcPr>
            <w:tcW w:w="81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0.600</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b/>
                <w:color w:val="000000"/>
                <w:lang w:val="en-US"/>
              </w:rPr>
            </w:pPr>
            <w:r w:rsidRPr="0049185D">
              <w:rPr>
                <w:rFonts w:ascii="Times New Roman" w:eastAsia="Times New Roman" w:hAnsi="Times New Roman" w:cs="Times New Roman"/>
                <w:b/>
                <w:color w:val="000000"/>
                <w:lang w:val="en-US"/>
              </w:rPr>
              <w:t>0.868</w:t>
            </w:r>
          </w:p>
        </w:tc>
        <w:tc>
          <w:tcPr>
            <w:tcW w:w="126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 </w:t>
            </w:r>
          </w:p>
        </w:tc>
      </w:tr>
      <w:tr w:rsidR="00D2103F" w:rsidRPr="0049185D" w:rsidTr="0049185D">
        <w:trPr>
          <w:trHeight w:val="288"/>
        </w:trPr>
        <w:tc>
          <w:tcPr>
            <w:tcW w:w="1080" w:type="dxa"/>
            <w:shd w:val="clear" w:color="auto" w:fill="auto"/>
            <w:noWrap/>
            <w:vAlign w:val="bottom"/>
            <w:hideMark/>
          </w:tcPr>
          <w:p w:rsidR="003A252E" w:rsidRPr="00F96FC1" w:rsidRDefault="003A252E" w:rsidP="00F96FC1">
            <w:pPr>
              <w:spacing w:after="0" w:line="24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UEX</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0.731</w:t>
            </w:r>
          </w:p>
        </w:tc>
        <w:tc>
          <w:tcPr>
            <w:tcW w:w="117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0.553</w:t>
            </w:r>
          </w:p>
        </w:tc>
        <w:tc>
          <w:tcPr>
            <w:tcW w:w="108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0.529</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0.655</w:t>
            </w:r>
          </w:p>
        </w:tc>
        <w:tc>
          <w:tcPr>
            <w:tcW w:w="81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0.603</w:t>
            </w:r>
          </w:p>
        </w:tc>
        <w:tc>
          <w:tcPr>
            <w:tcW w:w="99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0.661</w:t>
            </w:r>
          </w:p>
        </w:tc>
        <w:tc>
          <w:tcPr>
            <w:tcW w:w="1260" w:type="dxa"/>
            <w:shd w:val="clear" w:color="auto" w:fill="auto"/>
            <w:noWrap/>
            <w:vAlign w:val="bottom"/>
            <w:hideMark/>
          </w:tcPr>
          <w:p w:rsidR="003A252E" w:rsidRPr="0049185D" w:rsidRDefault="003A252E" w:rsidP="00F96FC1">
            <w:pPr>
              <w:spacing w:after="0" w:line="240" w:lineRule="auto"/>
              <w:jc w:val="both"/>
              <w:rPr>
                <w:rFonts w:ascii="Times New Roman" w:eastAsia="Times New Roman" w:hAnsi="Times New Roman" w:cs="Times New Roman"/>
                <w:color w:val="000000"/>
                <w:lang w:val="en-US"/>
              </w:rPr>
            </w:pPr>
            <w:r w:rsidRPr="0049185D">
              <w:rPr>
                <w:rFonts w:ascii="Times New Roman" w:eastAsia="Times New Roman" w:hAnsi="Times New Roman" w:cs="Times New Roman"/>
                <w:color w:val="000000"/>
                <w:lang w:val="en-US"/>
              </w:rPr>
              <w:t>0.863</w:t>
            </w:r>
          </w:p>
        </w:tc>
      </w:tr>
    </w:tbl>
    <w:p w:rsidR="00D95EE6" w:rsidRDefault="00D95EE6" w:rsidP="0049185D">
      <w:pPr>
        <w:spacing w:line="360" w:lineRule="auto"/>
        <w:ind w:firstLine="720"/>
        <w:jc w:val="both"/>
        <w:rPr>
          <w:rFonts w:ascii="Times New Roman" w:eastAsia="Times New Roman" w:hAnsi="Times New Roman"/>
          <w:bCs/>
          <w:noProof/>
          <w:color w:val="000000"/>
          <w:sz w:val="24"/>
          <w:szCs w:val="24"/>
        </w:rPr>
      </w:pPr>
    </w:p>
    <w:p w:rsidR="000E0CCE" w:rsidRPr="00F96FC1" w:rsidRDefault="00F96FC1" w:rsidP="00F96FC1">
      <w:pPr>
        <w:spacing w:line="360" w:lineRule="auto"/>
        <w:jc w:val="center"/>
        <w:rPr>
          <w:rFonts w:ascii="Times New Roman" w:hAnsi="Times New Roman" w:cs="Times New Roman"/>
          <w:b/>
          <w:sz w:val="24"/>
          <w:szCs w:val="24"/>
        </w:rPr>
      </w:pPr>
      <w:r w:rsidRPr="00F96FC1">
        <w:rPr>
          <w:rFonts w:ascii="Times New Roman" w:hAnsi="Times New Roman" w:cs="Times New Roman"/>
          <w:b/>
          <w:sz w:val="24"/>
          <w:szCs w:val="24"/>
        </w:rPr>
        <w:t>Table: Predictive Model (R</w:t>
      </w:r>
      <w:r w:rsidRPr="00F96FC1">
        <w:rPr>
          <w:rFonts w:ascii="Times New Roman" w:hAnsi="Times New Roman" w:cs="Times New Roman"/>
          <w:b/>
          <w:sz w:val="24"/>
          <w:szCs w:val="24"/>
          <w:vertAlign w:val="superscript"/>
        </w:rPr>
        <w:t>2</w:t>
      </w:r>
      <w:r w:rsidRPr="00F96FC1">
        <w:rPr>
          <w:rFonts w:ascii="Times New Roman" w:hAnsi="Times New Roman" w:cs="Times New Roman"/>
          <w:b/>
          <w:sz w:val="24"/>
          <w:szCs w:val="24"/>
        </w:rPr>
        <w:t>)</w:t>
      </w:r>
    </w:p>
    <w:tbl>
      <w:tblPr>
        <w:tblW w:w="840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2520"/>
        <w:gridCol w:w="3095"/>
      </w:tblGrid>
      <w:tr w:rsidR="000E0CCE" w:rsidRPr="00F96FC1" w:rsidTr="00F96FC1">
        <w:trPr>
          <w:trHeight w:val="341"/>
        </w:trPr>
        <w:tc>
          <w:tcPr>
            <w:tcW w:w="2785"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lang w:val="en-US"/>
              </w:rPr>
            </w:pPr>
          </w:p>
        </w:tc>
        <w:tc>
          <w:tcPr>
            <w:tcW w:w="2520"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color w:val="000000"/>
                <w:lang w:val="en-US"/>
              </w:rPr>
            </w:pPr>
            <w:r w:rsidRPr="00F96FC1">
              <w:rPr>
                <w:rFonts w:ascii="Times New Roman" w:eastAsia="Times New Roman" w:hAnsi="Times New Roman" w:cs="Times New Roman"/>
                <w:color w:val="000000"/>
                <w:lang w:val="en-US"/>
              </w:rPr>
              <w:t>R-square</w:t>
            </w:r>
          </w:p>
        </w:tc>
        <w:tc>
          <w:tcPr>
            <w:tcW w:w="3095"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color w:val="000000"/>
                <w:lang w:val="en-US"/>
              </w:rPr>
            </w:pPr>
            <w:r w:rsidRPr="00F96FC1">
              <w:rPr>
                <w:rFonts w:ascii="Times New Roman" w:eastAsia="Times New Roman" w:hAnsi="Times New Roman" w:cs="Times New Roman"/>
                <w:color w:val="000000"/>
                <w:lang w:val="en-US"/>
              </w:rPr>
              <w:t>R-square adjusted</w:t>
            </w:r>
          </w:p>
        </w:tc>
      </w:tr>
      <w:tr w:rsidR="000E0CCE" w:rsidRPr="00F96FC1" w:rsidTr="00F96FC1">
        <w:trPr>
          <w:trHeight w:val="341"/>
        </w:trPr>
        <w:tc>
          <w:tcPr>
            <w:tcW w:w="2785"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SAT</w:t>
            </w:r>
          </w:p>
        </w:tc>
        <w:tc>
          <w:tcPr>
            <w:tcW w:w="2520"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color w:val="000000"/>
                <w:lang w:val="en-US"/>
              </w:rPr>
            </w:pPr>
            <w:r w:rsidRPr="00F96FC1">
              <w:rPr>
                <w:rFonts w:ascii="Times New Roman" w:eastAsia="Times New Roman" w:hAnsi="Times New Roman" w:cs="Times New Roman"/>
                <w:color w:val="000000"/>
                <w:lang w:val="en-US"/>
              </w:rPr>
              <w:t>0.544</w:t>
            </w:r>
          </w:p>
        </w:tc>
        <w:tc>
          <w:tcPr>
            <w:tcW w:w="3095"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color w:val="000000"/>
                <w:lang w:val="en-US"/>
              </w:rPr>
            </w:pPr>
            <w:r w:rsidRPr="00F96FC1">
              <w:rPr>
                <w:rFonts w:ascii="Times New Roman" w:eastAsia="Times New Roman" w:hAnsi="Times New Roman" w:cs="Times New Roman"/>
                <w:color w:val="000000"/>
                <w:lang w:val="en-US"/>
              </w:rPr>
              <w:t>0.536</w:t>
            </w:r>
          </w:p>
        </w:tc>
      </w:tr>
      <w:tr w:rsidR="000E0CCE" w:rsidRPr="00F96FC1" w:rsidTr="00F96FC1">
        <w:trPr>
          <w:trHeight w:val="341"/>
        </w:trPr>
        <w:tc>
          <w:tcPr>
            <w:tcW w:w="2785"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b/>
                <w:color w:val="000000"/>
                <w:lang w:val="en-US"/>
              </w:rPr>
            </w:pPr>
            <w:r w:rsidRPr="00F96FC1">
              <w:rPr>
                <w:rFonts w:ascii="Times New Roman" w:eastAsia="Times New Roman" w:hAnsi="Times New Roman" w:cs="Times New Roman"/>
                <w:b/>
                <w:color w:val="000000"/>
                <w:lang w:val="en-US"/>
              </w:rPr>
              <w:t>STI</w:t>
            </w:r>
          </w:p>
        </w:tc>
        <w:tc>
          <w:tcPr>
            <w:tcW w:w="2520"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color w:val="000000"/>
                <w:lang w:val="en-US"/>
              </w:rPr>
            </w:pPr>
            <w:r w:rsidRPr="00F96FC1">
              <w:rPr>
                <w:rFonts w:ascii="Times New Roman" w:eastAsia="Times New Roman" w:hAnsi="Times New Roman" w:cs="Times New Roman"/>
                <w:color w:val="000000"/>
                <w:lang w:val="en-US"/>
              </w:rPr>
              <w:t>0.536</w:t>
            </w:r>
          </w:p>
        </w:tc>
        <w:tc>
          <w:tcPr>
            <w:tcW w:w="3095" w:type="dxa"/>
            <w:shd w:val="clear" w:color="auto" w:fill="auto"/>
            <w:noWrap/>
            <w:vAlign w:val="bottom"/>
            <w:hideMark/>
          </w:tcPr>
          <w:p w:rsidR="000E0CCE" w:rsidRPr="00F96FC1" w:rsidRDefault="000E0CCE" w:rsidP="006326C9">
            <w:pPr>
              <w:spacing w:after="0" w:line="360" w:lineRule="auto"/>
              <w:jc w:val="both"/>
              <w:rPr>
                <w:rFonts w:ascii="Times New Roman" w:eastAsia="Times New Roman" w:hAnsi="Times New Roman" w:cs="Times New Roman"/>
                <w:color w:val="000000"/>
                <w:lang w:val="en-US"/>
              </w:rPr>
            </w:pPr>
            <w:r w:rsidRPr="00F96FC1">
              <w:rPr>
                <w:rFonts w:ascii="Times New Roman" w:eastAsia="Times New Roman" w:hAnsi="Times New Roman" w:cs="Times New Roman"/>
                <w:color w:val="000000"/>
                <w:lang w:val="en-US"/>
              </w:rPr>
              <w:t>0.534</w:t>
            </w:r>
          </w:p>
        </w:tc>
      </w:tr>
    </w:tbl>
    <w:p w:rsidR="000E0CCE" w:rsidRDefault="000E0CCE" w:rsidP="00D2103F">
      <w:pPr>
        <w:spacing w:line="360" w:lineRule="auto"/>
        <w:jc w:val="both"/>
        <w:rPr>
          <w:rFonts w:ascii="Times New Roman" w:hAnsi="Times New Roman" w:cs="Times New Roman"/>
          <w:sz w:val="24"/>
          <w:szCs w:val="24"/>
        </w:rPr>
      </w:pPr>
    </w:p>
    <w:p w:rsidR="00967F2A" w:rsidRPr="005B4B05" w:rsidRDefault="001E4526" w:rsidP="00D2103F">
      <w:pPr>
        <w:spacing w:line="360" w:lineRule="auto"/>
        <w:jc w:val="both"/>
        <w:rPr>
          <w:rFonts w:ascii="Times New Roman" w:hAnsi="Times New Roman" w:cs="Times New Roman"/>
        </w:rPr>
      </w:pPr>
      <w:r w:rsidRPr="005B4B05">
        <w:rPr>
          <w:rFonts w:ascii="Times New Roman" w:hAnsi="Times New Roman" w:cs="Times New Roman"/>
        </w:rPr>
        <w:t xml:space="preserve">The table reports the </w:t>
      </w:r>
      <w:r w:rsidRPr="005B4B05">
        <w:rPr>
          <w:rStyle w:val="Strong"/>
          <w:rFonts w:ascii="Times New Roman" w:hAnsi="Times New Roman" w:cs="Times New Roman"/>
          <w:b w:val="0"/>
        </w:rPr>
        <w:t>R</w:t>
      </w:r>
      <w:r w:rsidRPr="005B4B05">
        <w:rPr>
          <w:rStyle w:val="Strong"/>
          <w:rFonts w:ascii="Times New Roman" w:hAnsi="Times New Roman" w:cs="Times New Roman"/>
        </w:rPr>
        <w:t>-</w:t>
      </w:r>
      <w:r w:rsidRPr="005B4B05">
        <w:rPr>
          <w:rStyle w:val="Strong"/>
          <w:rFonts w:ascii="Times New Roman" w:hAnsi="Times New Roman" w:cs="Times New Roman"/>
          <w:b w:val="0"/>
        </w:rPr>
        <w:t>square</w:t>
      </w:r>
      <w:r w:rsidRPr="005B4B05">
        <w:rPr>
          <w:rFonts w:ascii="Times New Roman" w:hAnsi="Times New Roman" w:cs="Times New Roman"/>
        </w:rPr>
        <w:t xml:space="preserve"> and </w:t>
      </w:r>
      <w:r w:rsidRPr="005B4B05">
        <w:rPr>
          <w:rStyle w:val="Strong"/>
          <w:rFonts w:ascii="Times New Roman" w:hAnsi="Times New Roman" w:cs="Times New Roman"/>
          <w:b w:val="0"/>
        </w:rPr>
        <w:t>R-square adjusted</w:t>
      </w:r>
      <w:r w:rsidRPr="005B4B05">
        <w:rPr>
          <w:rFonts w:ascii="Times New Roman" w:hAnsi="Times New Roman" w:cs="Times New Roman"/>
        </w:rPr>
        <w:t xml:space="preserve"> values for the constructs </w:t>
      </w:r>
      <w:r w:rsidRPr="005B4B05">
        <w:rPr>
          <w:rStyle w:val="Strong"/>
          <w:rFonts w:ascii="Times New Roman" w:hAnsi="Times New Roman" w:cs="Times New Roman"/>
          <w:b w:val="0"/>
        </w:rPr>
        <w:t>Satisfaction (SAT)</w:t>
      </w:r>
      <w:r w:rsidRPr="005B4B05">
        <w:rPr>
          <w:rFonts w:ascii="Times New Roman" w:hAnsi="Times New Roman" w:cs="Times New Roman"/>
        </w:rPr>
        <w:t xml:space="preserve"> and </w:t>
      </w:r>
      <w:r w:rsidRPr="005B4B05">
        <w:rPr>
          <w:rStyle w:val="Strong"/>
          <w:rFonts w:ascii="Times New Roman" w:hAnsi="Times New Roman" w:cs="Times New Roman"/>
          <w:b w:val="0"/>
        </w:rPr>
        <w:t>Sustainable Intention to Use (STI)</w:t>
      </w:r>
      <w:r w:rsidRPr="005B4B05">
        <w:rPr>
          <w:rFonts w:ascii="Times New Roman" w:hAnsi="Times New Roman" w:cs="Times New Roman"/>
        </w:rPr>
        <w:t xml:space="preserve">, which evaluate the model's explanatory power by indicating the proportion of variance in the dependent variables accounted for by the independent variables. Both constructs exhibit relatively high R-square and adjusted R-square values, demonstrating that the model explains over 50% of the variance in </w:t>
      </w:r>
      <w:r w:rsidRPr="005B4B05">
        <w:rPr>
          <w:rStyle w:val="Strong"/>
          <w:rFonts w:ascii="Times New Roman" w:hAnsi="Times New Roman" w:cs="Times New Roman"/>
          <w:b w:val="0"/>
        </w:rPr>
        <w:t>Satisfaction</w:t>
      </w:r>
      <w:r w:rsidRPr="005B4B05">
        <w:rPr>
          <w:rFonts w:ascii="Times New Roman" w:hAnsi="Times New Roman" w:cs="Times New Roman"/>
        </w:rPr>
        <w:t xml:space="preserve"> and </w:t>
      </w:r>
      <w:r w:rsidRPr="005B4B05">
        <w:rPr>
          <w:rStyle w:val="Strong"/>
          <w:rFonts w:ascii="Times New Roman" w:hAnsi="Times New Roman" w:cs="Times New Roman"/>
          <w:b w:val="0"/>
        </w:rPr>
        <w:t>Sustainable</w:t>
      </w:r>
      <w:r w:rsidRPr="005B4B05">
        <w:rPr>
          <w:rStyle w:val="Strong"/>
          <w:rFonts w:ascii="Times New Roman" w:hAnsi="Times New Roman" w:cs="Times New Roman"/>
        </w:rPr>
        <w:t xml:space="preserve"> </w:t>
      </w:r>
      <w:r w:rsidRPr="005B4B05">
        <w:rPr>
          <w:rStyle w:val="Strong"/>
          <w:rFonts w:ascii="Times New Roman" w:hAnsi="Times New Roman" w:cs="Times New Roman"/>
          <w:b w:val="0"/>
        </w:rPr>
        <w:t>Intention</w:t>
      </w:r>
      <w:r w:rsidRPr="005B4B05">
        <w:rPr>
          <w:rStyle w:val="Strong"/>
          <w:rFonts w:ascii="Times New Roman" w:hAnsi="Times New Roman" w:cs="Times New Roman"/>
        </w:rPr>
        <w:t xml:space="preserve"> </w:t>
      </w:r>
      <w:r w:rsidRPr="005B4B05">
        <w:rPr>
          <w:rStyle w:val="Strong"/>
          <w:rFonts w:ascii="Times New Roman" w:hAnsi="Times New Roman" w:cs="Times New Roman"/>
          <w:b w:val="0"/>
        </w:rPr>
        <w:t>to</w:t>
      </w:r>
      <w:r w:rsidRPr="005B4B05">
        <w:rPr>
          <w:rStyle w:val="Strong"/>
          <w:rFonts w:ascii="Times New Roman" w:hAnsi="Times New Roman" w:cs="Times New Roman"/>
        </w:rPr>
        <w:t xml:space="preserve"> </w:t>
      </w:r>
      <w:r w:rsidRPr="005B4B05">
        <w:rPr>
          <w:rStyle w:val="Strong"/>
          <w:rFonts w:ascii="Times New Roman" w:hAnsi="Times New Roman" w:cs="Times New Roman"/>
          <w:b w:val="0"/>
        </w:rPr>
        <w:t>Use</w:t>
      </w:r>
      <w:r w:rsidRPr="005B4B05">
        <w:rPr>
          <w:rFonts w:ascii="Times New Roman" w:hAnsi="Times New Roman" w:cs="Times New Roman"/>
        </w:rPr>
        <w:t xml:space="preserve">. The minimal difference between the R-square and adjusted R-square values suggests that the model does not suffer from overfitting, indicating that the number of predictors is well-suited for explaining the variance in the dependent variables. These findings imply that the model provides a robust fit in capturing the variance in </w:t>
      </w:r>
      <w:r w:rsidRPr="005B4B05">
        <w:rPr>
          <w:rStyle w:val="Strong"/>
          <w:rFonts w:ascii="Times New Roman" w:hAnsi="Times New Roman" w:cs="Times New Roman"/>
          <w:b w:val="0"/>
        </w:rPr>
        <w:t>Satisfaction</w:t>
      </w:r>
      <w:r w:rsidRPr="005B4B05">
        <w:rPr>
          <w:rFonts w:ascii="Times New Roman" w:hAnsi="Times New Roman" w:cs="Times New Roman"/>
          <w:b/>
        </w:rPr>
        <w:t xml:space="preserve"> </w:t>
      </w:r>
      <w:r w:rsidRPr="005B4B05">
        <w:rPr>
          <w:rFonts w:ascii="Times New Roman" w:hAnsi="Times New Roman" w:cs="Times New Roman"/>
        </w:rPr>
        <w:t>and</w:t>
      </w:r>
      <w:r w:rsidRPr="005B4B05">
        <w:rPr>
          <w:rFonts w:ascii="Times New Roman" w:hAnsi="Times New Roman" w:cs="Times New Roman"/>
          <w:b/>
        </w:rPr>
        <w:t xml:space="preserve"> </w:t>
      </w:r>
      <w:r w:rsidRPr="005B4B05">
        <w:rPr>
          <w:rStyle w:val="Strong"/>
          <w:rFonts w:ascii="Times New Roman" w:hAnsi="Times New Roman" w:cs="Times New Roman"/>
          <w:b w:val="0"/>
        </w:rPr>
        <w:t>Sustainable Intention to Use</w:t>
      </w:r>
      <w:r w:rsidRPr="005B4B05">
        <w:rPr>
          <w:rFonts w:ascii="Times New Roman" w:hAnsi="Times New Roman" w:cs="Times New Roman"/>
        </w:rPr>
        <w:t>. However, a portion of the variance remains unexplained, approximately 46%, suggesting that other factors may contribute to these constructs.</w:t>
      </w:r>
    </w:p>
    <w:p w:rsidR="005F63B8" w:rsidRPr="00172AD9" w:rsidRDefault="00172AD9" w:rsidP="00172AD9">
      <w:pPr>
        <w:spacing w:line="360" w:lineRule="auto"/>
        <w:jc w:val="center"/>
        <w:rPr>
          <w:rFonts w:ascii="Times New Roman" w:hAnsi="Times New Roman" w:cs="Times New Roman"/>
          <w:b/>
          <w:sz w:val="24"/>
          <w:szCs w:val="24"/>
        </w:rPr>
      </w:pPr>
      <w:r w:rsidRPr="00172AD9">
        <w:rPr>
          <w:rFonts w:ascii="Times New Roman" w:hAnsi="Times New Roman" w:cs="Times New Roman"/>
          <w:b/>
          <w:sz w:val="24"/>
          <w:szCs w:val="24"/>
        </w:rPr>
        <w:t>Table: Results of Path Analysis</w:t>
      </w:r>
    </w:p>
    <w:tbl>
      <w:tblPr>
        <w:tblW w:w="8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1845"/>
        <w:gridCol w:w="2015"/>
        <w:gridCol w:w="1965"/>
        <w:gridCol w:w="1024"/>
      </w:tblGrid>
      <w:tr w:rsidR="005F63B8" w:rsidRPr="005F63B8" w:rsidTr="005F63B8">
        <w:trPr>
          <w:trHeight w:val="306"/>
        </w:trPr>
        <w:tc>
          <w:tcPr>
            <w:tcW w:w="1917" w:type="dxa"/>
            <w:shd w:val="clear" w:color="auto" w:fill="auto"/>
            <w:noWrap/>
            <w:vAlign w:val="bottom"/>
            <w:hideMark/>
          </w:tcPr>
          <w:p w:rsidR="005F63B8" w:rsidRPr="005F63B8" w:rsidRDefault="005F63B8" w:rsidP="005F63B8">
            <w:pPr>
              <w:spacing w:after="0" w:line="240" w:lineRule="auto"/>
              <w:rPr>
                <w:rFonts w:ascii="Times New Roman" w:eastAsia="Times New Roman" w:hAnsi="Times New Roman" w:cs="Times New Roman"/>
                <w:sz w:val="24"/>
                <w:szCs w:val="24"/>
                <w:lang w:val="en-US"/>
              </w:rPr>
            </w:pPr>
          </w:p>
        </w:tc>
        <w:tc>
          <w:tcPr>
            <w:tcW w:w="184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Sample mean (M)</w:t>
            </w:r>
          </w:p>
        </w:tc>
        <w:tc>
          <w:tcPr>
            <w:tcW w:w="201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Standard deviation (STDEV)</w:t>
            </w:r>
          </w:p>
        </w:tc>
        <w:tc>
          <w:tcPr>
            <w:tcW w:w="196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T statistics (|O/STDEV|)</w:t>
            </w:r>
          </w:p>
        </w:tc>
        <w:tc>
          <w:tcPr>
            <w:tcW w:w="1024"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P values</w:t>
            </w:r>
          </w:p>
        </w:tc>
      </w:tr>
      <w:tr w:rsidR="005F63B8" w:rsidRPr="005F63B8" w:rsidTr="005F63B8">
        <w:trPr>
          <w:trHeight w:val="306"/>
        </w:trPr>
        <w:tc>
          <w:tcPr>
            <w:tcW w:w="1917" w:type="dxa"/>
            <w:shd w:val="clear" w:color="auto" w:fill="auto"/>
            <w:noWrap/>
            <w:vAlign w:val="bottom"/>
            <w:hideMark/>
          </w:tcPr>
          <w:p w:rsidR="005F63B8" w:rsidRPr="005F63B8" w:rsidRDefault="005F63B8" w:rsidP="005F63B8">
            <w:pPr>
              <w:spacing w:after="0" w:line="240" w:lineRule="auto"/>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CF -&gt; SAT</w:t>
            </w:r>
          </w:p>
        </w:tc>
        <w:tc>
          <w:tcPr>
            <w:tcW w:w="184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0.208</w:t>
            </w:r>
          </w:p>
        </w:tc>
        <w:tc>
          <w:tcPr>
            <w:tcW w:w="201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0.088</w:t>
            </w:r>
          </w:p>
        </w:tc>
        <w:tc>
          <w:tcPr>
            <w:tcW w:w="196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2.403</w:t>
            </w:r>
          </w:p>
        </w:tc>
        <w:tc>
          <w:tcPr>
            <w:tcW w:w="1024"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6400"/>
                <w:sz w:val="24"/>
                <w:szCs w:val="24"/>
                <w:lang w:val="en-US"/>
              </w:rPr>
            </w:pPr>
            <w:r w:rsidRPr="005F63B8">
              <w:rPr>
                <w:rFonts w:ascii="Times New Roman" w:eastAsia="Times New Roman" w:hAnsi="Times New Roman" w:cs="Times New Roman"/>
                <w:color w:val="006400"/>
                <w:sz w:val="24"/>
                <w:szCs w:val="24"/>
                <w:lang w:val="en-US"/>
              </w:rPr>
              <w:t>0.016</w:t>
            </w:r>
          </w:p>
        </w:tc>
      </w:tr>
      <w:tr w:rsidR="005F63B8" w:rsidRPr="005F63B8" w:rsidTr="005F63B8">
        <w:trPr>
          <w:trHeight w:val="306"/>
        </w:trPr>
        <w:tc>
          <w:tcPr>
            <w:tcW w:w="1917" w:type="dxa"/>
            <w:shd w:val="clear" w:color="auto" w:fill="auto"/>
            <w:noWrap/>
            <w:vAlign w:val="bottom"/>
            <w:hideMark/>
          </w:tcPr>
          <w:p w:rsidR="005F63B8" w:rsidRPr="005F63B8" w:rsidRDefault="005F63B8" w:rsidP="005F63B8">
            <w:pPr>
              <w:spacing w:after="0" w:line="240" w:lineRule="auto"/>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EE -&gt; SAT</w:t>
            </w:r>
          </w:p>
        </w:tc>
        <w:tc>
          <w:tcPr>
            <w:tcW w:w="184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0.183</w:t>
            </w:r>
          </w:p>
        </w:tc>
        <w:tc>
          <w:tcPr>
            <w:tcW w:w="201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0.076</w:t>
            </w:r>
          </w:p>
        </w:tc>
        <w:tc>
          <w:tcPr>
            <w:tcW w:w="196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2.388</w:t>
            </w:r>
          </w:p>
        </w:tc>
        <w:tc>
          <w:tcPr>
            <w:tcW w:w="1024"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6400"/>
                <w:sz w:val="24"/>
                <w:szCs w:val="24"/>
                <w:lang w:val="en-US"/>
              </w:rPr>
            </w:pPr>
            <w:r w:rsidRPr="005F63B8">
              <w:rPr>
                <w:rFonts w:ascii="Times New Roman" w:eastAsia="Times New Roman" w:hAnsi="Times New Roman" w:cs="Times New Roman"/>
                <w:color w:val="006400"/>
                <w:sz w:val="24"/>
                <w:szCs w:val="24"/>
                <w:lang w:val="en-US"/>
              </w:rPr>
              <w:t>0.017</w:t>
            </w:r>
          </w:p>
        </w:tc>
      </w:tr>
      <w:tr w:rsidR="005F63B8" w:rsidRPr="005F63B8" w:rsidTr="005F63B8">
        <w:trPr>
          <w:trHeight w:val="306"/>
        </w:trPr>
        <w:tc>
          <w:tcPr>
            <w:tcW w:w="1917" w:type="dxa"/>
            <w:shd w:val="clear" w:color="auto" w:fill="auto"/>
            <w:noWrap/>
            <w:vAlign w:val="bottom"/>
            <w:hideMark/>
          </w:tcPr>
          <w:p w:rsidR="005F63B8" w:rsidRPr="005F63B8" w:rsidRDefault="005F63B8" w:rsidP="005F63B8">
            <w:pPr>
              <w:spacing w:after="0" w:line="240" w:lineRule="auto"/>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PEU -&gt; SAT</w:t>
            </w:r>
          </w:p>
        </w:tc>
        <w:tc>
          <w:tcPr>
            <w:tcW w:w="184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-0.272</w:t>
            </w:r>
          </w:p>
        </w:tc>
        <w:tc>
          <w:tcPr>
            <w:tcW w:w="201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0.178</w:t>
            </w:r>
          </w:p>
        </w:tc>
        <w:tc>
          <w:tcPr>
            <w:tcW w:w="196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1.523</w:t>
            </w:r>
          </w:p>
        </w:tc>
        <w:tc>
          <w:tcPr>
            <w:tcW w:w="1024"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8B0000"/>
                <w:sz w:val="24"/>
                <w:szCs w:val="24"/>
                <w:lang w:val="en-US"/>
              </w:rPr>
            </w:pPr>
            <w:r w:rsidRPr="005F63B8">
              <w:rPr>
                <w:rFonts w:ascii="Times New Roman" w:eastAsia="Times New Roman" w:hAnsi="Times New Roman" w:cs="Times New Roman"/>
                <w:color w:val="8B0000"/>
                <w:sz w:val="24"/>
                <w:szCs w:val="24"/>
                <w:lang w:val="en-US"/>
              </w:rPr>
              <w:t>0.128</w:t>
            </w:r>
          </w:p>
        </w:tc>
      </w:tr>
      <w:tr w:rsidR="005F63B8" w:rsidRPr="005F63B8" w:rsidTr="005F63B8">
        <w:trPr>
          <w:trHeight w:val="306"/>
        </w:trPr>
        <w:tc>
          <w:tcPr>
            <w:tcW w:w="1917" w:type="dxa"/>
            <w:shd w:val="clear" w:color="auto" w:fill="auto"/>
            <w:noWrap/>
            <w:vAlign w:val="bottom"/>
            <w:hideMark/>
          </w:tcPr>
          <w:p w:rsidR="005F63B8" w:rsidRPr="005F63B8" w:rsidRDefault="005F63B8" w:rsidP="005F63B8">
            <w:pPr>
              <w:spacing w:after="0" w:line="240" w:lineRule="auto"/>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S -&gt; SAT</w:t>
            </w:r>
          </w:p>
        </w:tc>
        <w:tc>
          <w:tcPr>
            <w:tcW w:w="184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0.429</w:t>
            </w:r>
          </w:p>
        </w:tc>
        <w:tc>
          <w:tcPr>
            <w:tcW w:w="201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0.165</w:t>
            </w:r>
          </w:p>
        </w:tc>
        <w:tc>
          <w:tcPr>
            <w:tcW w:w="196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2.570</w:t>
            </w:r>
          </w:p>
        </w:tc>
        <w:tc>
          <w:tcPr>
            <w:tcW w:w="1024"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6400"/>
                <w:sz w:val="24"/>
                <w:szCs w:val="24"/>
                <w:lang w:val="en-US"/>
              </w:rPr>
            </w:pPr>
            <w:r w:rsidRPr="005F63B8">
              <w:rPr>
                <w:rFonts w:ascii="Times New Roman" w:eastAsia="Times New Roman" w:hAnsi="Times New Roman" w:cs="Times New Roman"/>
                <w:color w:val="006400"/>
                <w:sz w:val="24"/>
                <w:szCs w:val="24"/>
                <w:lang w:val="en-US"/>
              </w:rPr>
              <w:t>0.010</w:t>
            </w:r>
          </w:p>
        </w:tc>
      </w:tr>
      <w:tr w:rsidR="005F63B8" w:rsidRPr="005F63B8" w:rsidTr="005F63B8">
        <w:trPr>
          <w:trHeight w:val="306"/>
        </w:trPr>
        <w:tc>
          <w:tcPr>
            <w:tcW w:w="1917" w:type="dxa"/>
            <w:shd w:val="clear" w:color="auto" w:fill="auto"/>
            <w:noWrap/>
            <w:vAlign w:val="bottom"/>
            <w:hideMark/>
          </w:tcPr>
          <w:p w:rsidR="005F63B8" w:rsidRPr="005F63B8" w:rsidRDefault="005F63B8" w:rsidP="005F63B8">
            <w:pPr>
              <w:spacing w:after="0" w:line="240" w:lineRule="auto"/>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SAT -&gt; STI</w:t>
            </w:r>
          </w:p>
        </w:tc>
        <w:tc>
          <w:tcPr>
            <w:tcW w:w="184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0.732</w:t>
            </w:r>
          </w:p>
        </w:tc>
        <w:tc>
          <w:tcPr>
            <w:tcW w:w="201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0.030</w:t>
            </w:r>
          </w:p>
        </w:tc>
        <w:tc>
          <w:tcPr>
            <w:tcW w:w="196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24.801</w:t>
            </w:r>
          </w:p>
        </w:tc>
        <w:tc>
          <w:tcPr>
            <w:tcW w:w="1024"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6400"/>
                <w:sz w:val="24"/>
                <w:szCs w:val="24"/>
                <w:lang w:val="en-US"/>
              </w:rPr>
            </w:pPr>
            <w:r w:rsidRPr="005F63B8">
              <w:rPr>
                <w:rFonts w:ascii="Times New Roman" w:eastAsia="Times New Roman" w:hAnsi="Times New Roman" w:cs="Times New Roman"/>
                <w:color w:val="006400"/>
                <w:sz w:val="24"/>
                <w:szCs w:val="24"/>
                <w:lang w:val="en-US"/>
              </w:rPr>
              <w:t>0.000</w:t>
            </w:r>
          </w:p>
        </w:tc>
      </w:tr>
      <w:tr w:rsidR="005F63B8" w:rsidRPr="005F63B8" w:rsidTr="005F63B8">
        <w:trPr>
          <w:trHeight w:val="306"/>
        </w:trPr>
        <w:tc>
          <w:tcPr>
            <w:tcW w:w="1917" w:type="dxa"/>
            <w:shd w:val="clear" w:color="auto" w:fill="auto"/>
            <w:noWrap/>
            <w:vAlign w:val="bottom"/>
            <w:hideMark/>
          </w:tcPr>
          <w:p w:rsidR="005F63B8" w:rsidRPr="005F63B8" w:rsidRDefault="005F63B8" w:rsidP="005F63B8">
            <w:pPr>
              <w:spacing w:after="0" w:line="240" w:lineRule="auto"/>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UEX -&gt; SAT</w:t>
            </w:r>
          </w:p>
        </w:tc>
        <w:tc>
          <w:tcPr>
            <w:tcW w:w="184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0.306</w:t>
            </w:r>
          </w:p>
        </w:tc>
        <w:tc>
          <w:tcPr>
            <w:tcW w:w="201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0.065</w:t>
            </w:r>
          </w:p>
        </w:tc>
        <w:tc>
          <w:tcPr>
            <w:tcW w:w="1965"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0000"/>
                <w:sz w:val="24"/>
                <w:szCs w:val="24"/>
                <w:lang w:val="en-US"/>
              </w:rPr>
            </w:pPr>
            <w:r w:rsidRPr="005F63B8">
              <w:rPr>
                <w:rFonts w:ascii="Times New Roman" w:eastAsia="Times New Roman" w:hAnsi="Times New Roman" w:cs="Times New Roman"/>
                <w:color w:val="000000"/>
                <w:sz w:val="24"/>
                <w:szCs w:val="24"/>
                <w:lang w:val="en-US"/>
              </w:rPr>
              <w:t>4.759</w:t>
            </w:r>
          </w:p>
        </w:tc>
        <w:tc>
          <w:tcPr>
            <w:tcW w:w="1024" w:type="dxa"/>
            <w:shd w:val="clear" w:color="auto" w:fill="auto"/>
            <w:noWrap/>
            <w:vAlign w:val="bottom"/>
            <w:hideMark/>
          </w:tcPr>
          <w:p w:rsidR="005F63B8" w:rsidRPr="005F63B8" w:rsidRDefault="005F63B8" w:rsidP="005F63B8">
            <w:pPr>
              <w:spacing w:after="0" w:line="240" w:lineRule="auto"/>
              <w:jc w:val="right"/>
              <w:rPr>
                <w:rFonts w:ascii="Times New Roman" w:eastAsia="Times New Roman" w:hAnsi="Times New Roman" w:cs="Times New Roman"/>
                <w:color w:val="006400"/>
                <w:sz w:val="24"/>
                <w:szCs w:val="24"/>
                <w:lang w:val="en-US"/>
              </w:rPr>
            </w:pPr>
            <w:r w:rsidRPr="005F63B8">
              <w:rPr>
                <w:rFonts w:ascii="Times New Roman" w:eastAsia="Times New Roman" w:hAnsi="Times New Roman" w:cs="Times New Roman"/>
                <w:color w:val="006400"/>
                <w:sz w:val="24"/>
                <w:szCs w:val="24"/>
                <w:lang w:val="en-US"/>
              </w:rPr>
              <w:t>0.000</w:t>
            </w:r>
          </w:p>
        </w:tc>
      </w:tr>
    </w:tbl>
    <w:p w:rsidR="00B5602B" w:rsidRDefault="00B5602B" w:rsidP="00D2103F">
      <w:pPr>
        <w:spacing w:line="360" w:lineRule="auto"/>
        <w:jc w:val="both"/>
        <w:rPr>
          <w:rFonts w:ascii="Times New Roman" w:hAnsi="Times New Roman" w:cs="Times New Roman"/>
          <w:noProof/>
          <w:sz w:val="24"/>
          <w:szCs w:val="24"/>
          <w:lang w:val="en-US"/>
        </w:rPr>
      </w:pPr>
    </w:p>
    <w:p w:rsidR="00CE304F" w:rsidRPr="00172AD9" w:rsidRDefault="00CE304F" w:rsidP="00CE304F">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172AD9">
        <w:rPr>
          <w:rFonts w:ascii="Times New Roman" w:eastAsia="Times New Roman" w:hAnsi="Times New Roman" w:cs="Times New Roman"/>
          <w:sz w:val="24"/>
          <w:szCs w:val="24"/>
          <w:lang w:val="en-US"/>
        </w:rPr>
        <w:t xml:space="preserve">This path analysis examines how Customer Feedback (CF), Effort Expectancy (EE), Perceived Ease of Use (PEU), Service Quality (S), and User Experience (UEX) affect Satisfaction (SAT) and Intention to Use (STI). </w:t>
      </w:r>
      <w:r w:rsidRPr="00172AD9">
        <w:rPr>
          <w:rFonts w:ascii="Times New Roman" w:eastAsia="Times New Roman" w:hAnsi="Times New Roman" w:cs="Times New Roman"/>
          <w:bCs/>
          <w:sz w:val="24"/>
          <w:szCs w:val="24"/>
          <w:lang w:val="en-US"/>
        </w:rPr>
        <w:t>Service Quality</w:t>
      </w:r>
      <w:r w:rsidRPr="00172AD9">
        <w:rPr>
          <w:rFonts w:ascii="Times New Roman" w:eastAsia="Times New Roman" w:hAnsi="Times New Roman" w:cs="Times New Roman"/>
          <w:sz w:val="24"/>
          <w:szCs w:val="24"/>
          <w:lang w:val="en-US"/>
        </w:rPr>
        <w:t xml:space="preserve"> and </w:t>
      </w:r>
      <w:r w:rsidRPr="00172AD9">
        <w:rPr>
          <w:rFonts w:ascii="Times New Roman" w:eastAsia="Times New Roman" w:hAnsi="Times New Roman" w:cs="Times New Roman"/>
          <w:bCs/>
          <w:sz w:val="24"/>
          <w:szCs w:val="24"/>
          <w:lang w:val="en-US"/>
        </w:rPr>
        <w:t>User Experience</w:t>
      </w:r>
      <w:r w:rsidRPr="00172AD9">
        <w:rPr>
          <w:rFonts w:ascii="Times New Roman" w:eastAsia="Times New Roman" w:hAnsi="Times New Roman" w:cs="Times New Roman"/>
          <w:sz w:val="24"/>
          <w:szCs w:val="24"/>
          <w:lang w:val="en-US"/>
        </w:rPr>
        <w:t xml:space="preserve"> have the strongest positive impacts on Satisfaction, with coefficients of 0.429 and 0.306, respectively, both statistically significant (p &lt; 0.05). </w:t>
      </w:r>
      <w:r w:rsidRPr="00172AD9">
        <w:rPr>
          <w:rFonts w:ascii="Times New Roman" w:eastAsia="Times New Roman" w:hAnsi="Times New Roman" w:cs="Times New Roman"/>
          <w:bCs/>
          <w:sz w:val="24"/>
          <w:szCs w:val="24"/>
          <w:lang w:val="en-US"/>
        </w:rPr>
        <w:t>Customer Feedback</w:t>
      </w:r>
      <w:r w:rsidRPr="00172AD9">
        <w:rPr>
          <w:rFonts w:ascii="Times New Roman" w:eastAsia="Times New Roman" w:hAnsi="Times New Roman" w:cs="Times New Roman"/>
          <w:sz w:val="24"/>
          <w:szCs w:val="24"/>
          <w:lang w:val="en-US"/>
        </w:rPr>
        <w:t xml:space="preserve"> (M = 0.208, p = 0.016) and </w:t>
      </w:r>
      <w:r w:rsidRPr="00172AD9">
        <w:rPr>
          <w:rFonts w:ascii="Times New Roman" w:eastAsia="Times New Roman" w:hAnsi="Times New Roman" w:cs="Times New Roman"/>
          <w:bCs/>
          <w:sz w:val="24"/>
          <w:szCs w:val="24"/>
          <w:lang w:val="en-US"/>
        </w:rPr>
        <w:t>Effort Expectancy</w:t>
      </w:r>
      <w:r w:rsidRPr="00172AD9">
        <w:rPr>
          <w:rFonts w:ascii="Times New Roman" w:eastAsia="Times New Roman" w:hAnsi="Times New Roman" w:cs="Times New Roman"/>
          <w:sz w:val="24"/>
          <w:szCs w:val="24"/>
          <w:lang w:val="en-US"/>
        </w:rPr>
        <w:t xml:space="preserve"> (M = 0.183, p = 0.017) also significantly influence Satisfaction. However, </w:t>
      </w:r>
      <w:r w:rsidRPr="00172AD9">
        <w:rPr>
          <w:rFonts w:ascii="Times New Roman" w:eastAsia="Times New Roman" w:hAnsi="Times New Roman" w:cs="Times New Roman"/>
          <w:bCs/>
          <w:sz w:val="24"/>
          <w:szCs w:val="24"/>
          <w:lang w:val="en-US"/>
        </w:rPr>
        <w:t>Perceived Ease of Use</w:t>
      </w:r>
      <w:r w:rsidRPr="00172AD9">
        <w:rPr>
          <w:rFonts w:ascii="Times New Roman" w:eastAsia="Times New Roman" w:hAnsi="Times New Roman" w:cs="Times New Roman"/>
          <w:sz w:val="24"/>
          <w:szCs w:val="24"/>
          <w:lang w:val="en-US"/>
        </w:rPr>
        <w:t xml:space="preserve"> shows a negative but non-significant effect (M = -0.272, p = 0.128). </w:t>
      </w:r>
      <w:r w:rsidRPr="00172AD9">
        <w:rPr>
          <w:rFonts w:ascii="Times New Roman" w:eastAsia="Times New Roman" w:hAnsi="Times New Roman" w:cs="Times New Roman"/>
          <w:bCs/>
          <w:sz w:val="24"/>
          <w:szCs w:val="24"/>
          <w:lang w:val="en-US"/>
        </w:rPr>
        <w:t>Satisfaction</w:t>
      </w:r>
      <w:r w:rsidRPr="00172AD9">
        <w:rPr>
          <w:rFonts w:ascii="Times New Roman" w:eastAsia="Times New Roman" w:hAnsi="Times New Roman" w:cs="Times New Roman"/>
          <w:sz w:val="24"/>
          <w:szCs w:val="24"/>
          <w:lang w:val="en-US"/>
        </w:rPr>
        <w:t xml:space="preserve"> strongly predicts </w:t>
      </w:r>
      <w:r w:rsidRPr="00172AD9">
        <w:rPr>
          <w:rFonts w:ascii="Times New Roman" w:eastAsia="Times New Roman" w:hAnsi="Times New Roman" w:cs="Times New Roman"/>
          <w:bCs/>
          <w:sz w:val="24"/>
          <w:szCs w:val="24"/>
          <w:lang w:val="en-US"/>
        </w:rPr>
        <w:t>Intention to Use</w:t>
      </w:r>
      <w:r w:rsidRPr="00172AD9">
        <w:rPr>
          <w:rFonts w:ascii="Times New Roman" w:eastAsia="Times New Roman" w:hAnsi="Times New Roman" w:cs="Times New Roman"/>
          <w:sz w:val="24"/>
          <w:szCs w:val="24"/>
          <w:lang w:val="en-US"/>
        </w:rPr>
        <w:t xml:space="preserve"> (M = 0.732, p = 0.00), highlighting its critical role in user retention. Organizations should focus on delivering high-quality service, improving user experience, and effectively responding to customer feedback to enhance satisfaction and drive continued system use. Further research should explore the complex role of ease of use in this context.</w:t>
      </w:r>
    </w:p>
    <w:p w:rsidR="005F63B8" w:rsidRDefault="005F63B8" w:rsidP="00D2103F">
      <w:pPr>
        <w:spacing w:line="360" w:lineRule="auto"/>
        <w:jc w:val="both"/>
        <w:rPr>
          <w:rFonts w:ascii="Times New Roman" w:hAnsi="Times New Roman" w:cs="Times New Roman"/>
          <w:noProof/>
          <w:sz w:val="24"/>
          <w:szCs w:val="24"/>
          <w:lang w:val="en-US"/>
        </w:rPr>
      </w:pPr>
    </w:p>
    <w:p w:rsidR="00B5602B" w:rsidRDefault="00DB3A78" w:rsidP="00D2103F">
      <w:pPr>
        <w:spacing w:line="360" w:lineRule="auto"/>
        <w:jc w:val="both"/>
        <w:rPr>
          <w:rFonts w:ascii="Times New Roman" w:hAnsi="Times New Roman" w:cs="Times New Roman"/>
          <w:sz w:val="24"/>
          <w:szCs w:val="24"/>
        </w:rPr>
      </w:pPr>
      <w:r w:rsidRPr="00DB3A78">
        <w:rPr>
          <w:rFonts w:ascii="Times New Roman" w:hAnsi="Times New Roman" w:cs="Times New Roman"/>
          <w:noProof/>
          <w:sz w:val="24"/>
          <w:szCs w:val="24"/>
          <w:lang w:val="en-US"/>
        </w:rPr>
        <w:drawing>
          <wp:inline distT="0" distB="0" distL="0" distR="0">
            <wp:extent cx="5731510" cy="3044008"/>
            <wp:effectExtent l="0" t="0" r="2540" b="4445"/>
            <wp:docPr id="2" name="Picture 2" descr="C:\Users\mh241\AppData\Local\Temp\image140413718843526702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h241\AppData\Local\Temp\image1404137188435267028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3044008"/>
                    </a:xfrm>
                    <a:prstGeom prst="rect">
                      <a:avLst/>
                    </a:prstGeom>
                    <a:noFill/>
                    <a:ln>
                      <a:noFill/>
                    </a:ln>
                  </pic:spPr>
                </pic:pic>
              </a:graphicData>
            </a:graphic>
          </wp:inline>
        </w:drawing>
      </w:r>
    </w:p>
    <w:p w:rsidR="00B73308" w:rsidRDefault="00F96FC1" w:rsidP="00F96FC1">
      <w:pPr>
        <w:ind w:firstLine="720"/>
        <w:jc w:val="center"/>
        <w:rPr>
          <w:rFonts w:ascii="Times New Roman" w:hAnsi="Times New Roman" w:cs="Times New Roman"/>
          <w:b/>
          <w:noProof/>
          <w:sz w:val="24"/>
          <w:szCs w:val="24"/>
          <w:lang w:val="en-US"/>
        </w:rPr>
      </w:pPr>
      <w:r w:rsidRPr="00F96FC1">
        <w:rPr>
          <w:rFonts w:ascii="Times New Roman" w:hAnsi="Times New Roman" w:cs="Times New Roman"/>
          <w:b/>
          <w:noProof/>
          <w:sz w:val="24"/>
          <w:szCs w:val="24"/>
          <w:lang w:val="en-US"/>
        </w:rPr>
        <w:t>Figure 2: Model Fitness</w:t>
      </w:r>
    </w:p>
    <w:p w:rsidR="00F96FC1" w:rsidRPr="00F96FC1" w:rsidRDefault="00F96FC1" w:rsidP="00F96FC1">
      <w:pPr>
        <w:ind w:firstLine="720"/>
        <w:jc w:val="center"/>
        <w:rPr>
          <w:rFonts w:ascii="Times New Roman" w:hAnsi="Times New Roman" w:cs="Times New Roman"/>
          <w:b/>
          <w:noProof/>
          <w:sz w:val="24"/>
          <w:szCs w:val="24"/>
          <w:lang w:val="en-US"/>
        </w:rPr>
      </w:pPr>
    </w:p>
    <w:p w:rsidR="00B5602B" w:rsidRDefault="00B5602B" w:rsidP="00B5602B">
      <w:pPr>
        <w:ind w:firstLine="720"/>
        <w:jc w:val="both"/>
        <w:rPr>
          <w:rFonts w:ascii="Times New Roman" w:hAnsi="Times New Roman" w:cs="Times New Roman"/>
          <w:noProof/>
          <w:sz w:val="24"/>
          <w:szCs w:val="24"/>
          <w:lang w:val="en-US"/>
        </w:rPr>
      </w:pPr>
    </w:p>
    <w:p w:rsidR="00CC7827" w:rsidRDefault="00B5602B" w:rsidP="00B5602B">
      <w:pPr>
        <w:ind w:firstLine="720"/>
        <w:rPr>
          <w:rFonts w:ascii="Times New Roman" w:hAnsi="Times New Roman" w:cs="Times New Roman"/>
          <w:sz w:val="24"/>
          <w:szCs w:val="24"/>
        </w:rPr>
      </w:pPr>
      <w:r w:rsidRPr="00B5602B">
        <w:rPr>
          <w:rFonts w:ascii="Times New Roman" w:hAnsi="Times New Roman" w:cs="Times New Roman"/>
          <w:noProof/>
          <w:sz w:val="24"/>
          <w:szCs w:val="24"/>
          <w:lang w:val="en-US"/>
        </w:rPr>
        <w:drawing>
          <wp:inline distT="0" distB="0" distL="0" distR="0">
            <wp:extent cx="4845050" cy="3045460"/>
            <wp:effectExtent l="0" t="0" r="0" b="2540"/>
            <wp:docPr id="4" name="Picture 4" descr="C:\Users\mh241\AppData\Local\Temp\image180354286809129100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h241\AppData\Local\Temp\image1803542868091291006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5640" cy="3045831"/>
                    </a:xfrm>
                    <a:prstGeom prst="rect">
                      <a:avLst/>
                    </a:prstGeom>
                    <a:noFill/>
                    <a:ln>
                      <a:noFill/>
                    </a:ln>
                  </pic:spPr>
                </pic:pic>
              </a:graphicData>
            </a:graphic>
          </wp:inline>
        </w:drawing>
      </w:r>
    </w:p>
    <w:p w:rsidR="00CC7827" w:rsidRPr="00F96FC1" w:rsidRDefault="00F96FC1" w:rsidP="00F96FC1">
      <w:pPr>
        <w:jc w:val="center"/>
        <w:rPr>
          <w:rFonts w:ascii="Times New Roman" w:hAnsi="Times New Roman" w:cs="Times New Roman"/>
          <w:b/>
          <w:sz w:val="24"/>
          <w:szCs w:val="24"/>
        </w:rPr>
      </w:pPr>
      <w:r w:rsidRPr="00F96FC1">
        <w:rPr>
          <w:rFonts w:ascii="Times New Roman" w:hAnsi="Times New Roman" w:cs="Times New Roman"/>
          <w:b/>
          <w:sz w:val="24"/>
          <w:szCs w:val="24"/>
        </w:rPr>
        <w:t>Figure 3: Path</w:t>
      </w:r>
    </w:p>
    <w:p w:rsidR="00B5602B" w:rsidRDefault="00B5602B" w:rsidP="00CC7827">
      <w:pPr>
        <w:rPr>
          <w:rFonts w:ascii="Times New Roman" w:hAnsi="Times New Roman" w:cs="Times New Roman"/>
          <w:sz w:val="24"/>
          <w:szCs w:val="24"/>
        </w:rPr>
      </w:pPr>
    </w:p>
    <w:p w:rsidR="00643F61" w:rsidRPr="00ED0815" w:rsidRDefault="00ED0815" w:rsidP="00CC7827">
      <w:pPr>
        <w:rPr>
          <w:rFonts w:ascii="Times New Roman" w:hAnsi="Times New Roman" w:cs="Times New Roman"/>
          <w:b/>
          <w:sz w:val="28"/>
          <w:szCs w:val="28"/>
        </w:rPr>
      </w:pPr>
      <w:r w:rsidRPr="00ED0815">
        <w:rPr>
          <w:rFonts w:ascii="Times New Roman" w:hAnsi="Times New Roman" w:cs="Times New Roman"/>
          <w:b/>
          <w:sz w:val="28"/>
          <w:szCs w:val="28"/>
        </w:rPr>
        <w:t>Findings:</w:t>
      </w:r>
    </w:p>
    <w:p w:rsidR="00CC7827" w:rsidRDefault="00ED0815" w:rsidP="00ED0815">
      <w:pPr>
        <w:pStyle w:val="NormalWeb"/>
        <w:spacing w:line="360" w:lineRule="auto"/>
        <w:ind w:firstLine="720"/>
        <w:jc w:val="both"/>
      </w:pPr>
      <w:r>
        <w:t xml:space="preserve">The adoption of </w:t>
      </w:r>
      <w:r w:rsidR="005D6E88">
        <w:t>Fintech</w:t>
      </w:r>
      <w:r w:rsidR="00CC7827">
        <w:t xml:space="preserve"> platforms among the elderly population in Bangladesh is influenced by several interrelated factors: service confirmation, perceived ease of use (PEU), perceived usefulness (PU), and trust. Drawing on established models like the Technology Acceptance Model (TAM) and Expectation-Confirmation Theory (ECT), this discussion explores the implications of these factors for both practical and theoretical contexts.</w:t>
      </w:r>
    </w:p>
    <w:p w:rsidR="00CC7827" w:rsidRPr="00643F61" w:rsidRDefault="00CC7827" w:rsidP="00ED0815">
      <w:pPr>
        <w:spacing w:line="360" w:lineRule="auto"/>
        <w:jc w:val="both"/>
        <w:rPr>
          <w:rFonts w:ascii="Times New Roman" w:hAnsi="Times New Roman" w:cs="Times New Roman"/>
          <w:b/>
          <w:sz w:val="24"/>
          <w:szCs w:val="24"/>
        </w:rPr>
      </w:pPr>
      <w:r w:rsidRPr="00643F61">
        <w:rPr>
          <w:rFonts w:ascii="Times New Roman" w:hAnsi="Times New Roman" w:cs="Times New Roman"/>
          <w:b/>
          <w:sz w:val="24"/>
          <w:szCs w:val="24"/>
        </w:rPr>
        <w:t>Practical Implications</w:t>
      </w:r>
    </w:p>
    <w:p w:rsidR="0054147D" w:rsidRDefault="00CC7827" w:rsidP="00ED0815">
      <w:pPr>
        <w:pStyle w:val="NormalWeb"/>
        <w:spacing w:line="360" w:lineRule="auto"/>
        <w:jc w:val="both"/>
      </w:pPr>
      <w:r>
        <w:t xml:space="preserve">Service confirmation is pivotal in shaping user satisfaction among elderly </w:t>
      </w:r>
      <w:r w:rsidR="005D6E88">
        <w:t>Fintech</w:t>
      </w:r>
      <w:r>
        <w:t xml:space="preserve"> users. When the actual experience aligns with or surpasses initial expectations, satisfaction increases. For elderly individuals, many of whom have limited exposure to digital tools, it is crucial that </w:t>
      </w:r>
      <w:r w:rsidR="005D6E88">
        <w:t>Fintech</w:t>
      </w:r>
      <w:r>
        <w:t xml:space="preserve"> platforms confirm ease, convenience, and security. By ensuring that users’ expectations are met, </w:t>
      </w:r>
      <w:r w:rsidR="005D6E88">
        <w:t>Fintech</w:t>
      </w:r>
      <w:r>
        <w:t xml:space="preserve"> providers can reduce anxiety and build confidence, ultimately leading to greater user satisfaction. Thus, platforms that consistently deliver on their promises enhance the likelihood of continued use among elderly users.</w:t>
      </w:r>
      <w:r w:rsidR="0054147D">
        <w:t xml:space="preserve"> </w:t>
      </w:r>
      <w:r>
        <w:t xml:space="preserve">PEU significantly impacts </w:t>
      </w:r>
      <w:r w:rsidR="005D6E88">
        <w:t>Fintech</w:t>
      </w:r>
      <w:r>
        <w:t xml:space="preserve"> adoption among elderly users, indirectly influencing PU. </w:t>
      </w:r>
      <w:r w:rsidR="005D6E88">
        <w:t>Fintech</w:t>
      </w:r>
      <w:r>
        <w:t xml:space="preserve"> platforms that boast intuitive interfaces, clear instructions, and minimal technical complexity empower elderly users to navigate the technology more comfortably. This ease of use fosters a belief in the usefulness of the services for managing everyday financial tasks such as bill payments, fund transfers, and pension management. The direct relationship between PEU and PU is particularly critical for elderly users; a user-friendly platform strengthens their belief in its utility, thereby increasing overall satisfaction.</w:t>
      </w:r>
      <w:r w:rsidR="00643F61">
        <w:t xml:space="preserve"> </w:t>
      </w:r>
      <w:r>
        <w:t xml:space="preserve">PU has a direct and strong influence on user satisfaction. </w:t>
      </w:r>
      <w:r w:rsidR="005D6E88">
        <w:t>Fintech</w:t>
      </w:r>
      <w:r>
        <w:t xml:space="preserve"> platforms that enable users to perform essential financial transactions conveniently from home are perceived as highly useful. This is especially important for elderly individuals with mobility challenges or those living in rural areas. </w:t>
      </w:r>
    </w:p>
    <w:p w:rsidR="00CC7827" w:rsidRDefault="00CC7827" w:rsidP="00ED0815">
      <w:pPr>
        <w:pStyle w:val="NormalWeb"/>
        <w:spacing w:line="360" w:lineRule="auto"/>
        <w:ind w:firstLine="720"/>
        <w:jc w:val="both"/>
      </w:pPr>
      <w:r>
        <w:t xml:space="preserve">The ability to manage financial tasks independently enhances their sense of empowerment and security, directly translating into higher satisfaction levels. Therefore, </w:t>
      </w:r>
      <w:r w:rsidR="005D6E88">
        <w:t>Fintech</w:t>
      </w:r>
      <w:r>
        <w:t xml:space="preserve"> services that cater to these specific needs are more likely to achieve sustained user engagement</w:t>
      </w:r>
      <w:r w:rsidR="006D68B1">
        <w:t xml:space="preserve"> </w:t>
      </w:r>
      <w:r w:rsidR="006D68B1">
        <w:fldChar w:fldCharType="begin"/>
      </w:r>
      <w:r w:rsidR="00906036">
        <w:instrText xml:space="preserve"> ADDIN EN.CITE &lt;EndNote&gt;&lt;Cite&gt;&lt;Author&gt;Hwang&lt;/Author&gt;&lt;Year&gt;2022&lt;/Year&gt;&lt;RecNum&gt;937&lt;/RecNum&gt;&lt;DisplayText&gt;(Hwang &amp;amp; Kim, 2022)&lt;/DisplayText&gt;&lt;record&gt;&lt;rec-number&gt;937&lt;/rec-number&gt;&lt;foreign-keys&gt;&lt;key app="EN" db-id="a2rsvzpeof2293e9sebptwz9ezdwezd52ax5" timestamp="1729315057"&gt;937&lt;/key&gt;&lt;/foreign-keys&gt;&lt;ref-type name="Journal Article"&gt;17&lt;/ref-type&gt;&lt;contributors&gt;&lt;authors&gt;&lt;author&gt;Hwang, Won-Sik&lt;/author&gt;&lt;author&gt;Kim, Ho-Sung&lt;/author&gt;&lt;/authors&gt;&lt;/contributors&gt;&lt;titles&gt;&lt;title&gt;Does the adoption of emerging technologies improve technical efficiency? Evidence from Korean manufacturing SMEs&lt;/title&gt;&lt;secondary-title&gt;Small Business Economics&lt;/secondary-title&gt;&lt;/titles&gt;&lt;periodical&gt;&lt;full-title&gt;Small Business Economics&lt;/full-title&gt;&lt;/periodical&gt;&lt;pages&gt;627-643&lt;/pages&gt;&lt;volume&gt;59&lt;/volume&gt;&lt;number&gt;2&lt;/number&gt;&lt;dates&gt;&lt;year&gt;2022&lt;/year&gt;&lt;pub-dates&gt;&lt;date&gt;2022/08/01&lt;/date&gt;&lt;/pub-dates&gt;&lt;/dates&gt;&lt;isbn&gt;1573-0913&lt;/isbn&gt;&lt;urls&gt;&lt;related-urls&gt;&lt;url&gt;https://doi.org/10.1007/s11187-021-00554-w&lt;/url&gt;&lt;/related-urls&gt;&lt;/urls&gt;&lt;electronic-resource-num&gt;10.1007/s11187-021-00554-w&lt;/electronic-resource-num&gt;&lt;/record&gt;&lt;/Cite&gt;&lt;/EndNote&gt;</w:instrText>
      </w:r>
      <w:r w:rsidR="006D68B1">
        <w:fldChar w:fldCharType="separate"/>
      </w:r>
      <w:r w:rsidR="00906036">
        <w:rPr>
          <w:noProof/>
        </w:rPr>
        <w:t>(Hwang &amp; Kim, 2022)</w:t>
      </w:r>
      <w:r w:rsidR="006D68B1">
        <w:fldChar w:fldCharType="end"/>
      </w:r>
      <w:r>
        <w:t>.</w:t>
      </w:r>
      <w:r w:rsidR="0054147D">
        <w:t xml:space="preserve"> </w:t>
      </w:r>
      <w:r>
        <w:t xml:space="preserve">Trust is a critical element in </w:t>
      </w:r>
      <w:r w:rsidR="005D6E88">
        <w:t>Fintech</w:t>
      </w:r>
      <w:r>
        <w:t xml:space="preserve"> adoption, particularly among elderly users, who may harbor concerns regarding data security and system reliability. A high level of trust in a </w:t>
      </w:r>
      <w:r w:rsidR="005D6E88">
        <w:t>Fintech</w:t>
      </w:r>
      <w:r>
        <w:t xml:space="preserve"> platform alleviates anxieties surrounding financial transactions, leading to increased comfort and satisfaction. Trust mitigates perceived uncertainty about technology, making elderly users more inclined to engage with </w:t>
      </w:r>
      <w:r w:rsidR="005D6E88">
        <w:t>Fintech</w:t>
      </w:r>
      <w:r>
        <w:t xml:space="preserve"> services. Furthermore, trust fosters long-term engagement; elderly users are more likely to remain loyal to platforms they consider reliable and secure. Consequently, enhancing trust not only elevates satisfaction but also promotes continued use over time.</w:t>
      </w:r>
      <w:r w:rsidR="00643F61">
        <w:t xml:space="preserve"> </w:t>
      </w:r>
      <w:r>
        <w:t>The findings suggest that</w:t>
      </w:r>
      <w:r w:rsidR="00381E06">
        <w:t xml:space="preserve"> satisfaction </w:t>
      </w:r>
      <w:r>
        <w:t xml:space="preserve">driven by service confirmation, </w:t>
      </w:r>
      <w:r w:rsidR="00381E06">
        <w:t xml:space="preserve">perceived usefulness, and trust </w:t>
      </w:r>
      <w:r>
        <w:t xml:space="preserve">is essential for long-term </w:t>
      </w:r>
      <w:r w:rsidR="005D6E88">
        <w:t>Fintech</w:t>
      </w:r>
      <w:r>
        <w:t xml:space="preserve"> adoption among elderly users. </w:t>
      </w:r>
      <w:r w:rsidR="005D6E88">
        <w:t>Fintech</w:t>
      </w:r>
      <w:r>
        <w:t xml:space="preserve"> platforms that successfully build trust, meet user expectations, and offer convenient, easy-to-use features are more likely to retain user engagement. Satisfied elderly users are more inclined to continue utilizing </w:t>
      </w:r>
      <w:r w:rsidR="005D6E88">
        <w:t>Fintech</w:t>
      </w:r>
      <w:r>
        <w:t xml:space="preserve"> services, creating a positive feedback loop that strengthens both adoption and loyalty.</w:t>
      </w:r>
    </w:p>
    <w:p w:rsidR="00CC7827" w:rsidRPr="00643F61" w:rsidRDefault="00CC7827" w:rsidP="00ED0815">
      <w:pPr>
        <w:spacing w:line="360" w:lineRule="auto"/>
        <w:jc w:val="both"/>
        <w:rPr>
          <w:rFonts w:ascii="Times New Roman" w:hAnsi="Times New Roman" w:cs="Times New Roman"/>
          <w:b/>
          <w:sz w:val="24"/>
          <w:szCs w:val="24"/>
        </w:rPr>
      </w:pPr>
      <w:r w:rsidRPr="00643F61">
        <w:rPr>
          <w:rFonts w:ascii="Times New Roman" w:hAnsi="Times New Roman" w:cs="Times New Roman"/>
          <w:b/>
          <w:sz w:val="24"/>
          <w:szCs w:val="24"/>
        </w:rPr>
        <w:t>Theoretical Implications</w:t>
      </w:r>
    </w:p>
    <w:p w:rsidR="00CC7827" w:rsidRDefault="00CC7827" w:rsidP="00ED0815">
      <w:pPr>
        <w:pStyle w:val="NormalWeb"/>
        <w:spacing w:line="360" w:lineRule="auto"/>
        <w:jc w:val="both"/>
      </w:pPr>
      <w:r>
        <w:t>This study contributes to the theoretical discourse by integrating aspects of the Technology Acceptance Model (TAM) and Expectation-Confirmation Theory (ECT). By demonstrating how service confirmation affects satisfaction, and how satisfaction influences continued use, this research reinforces the relevance of these models in understanding technology adoption among unique demographics, such as the elderly.</w:t>
      </w:r>
      <w:r w:rsidR="00643F61">
        <w:t xml:space="preserve"> </w:t>
      </w:r>
      <w:r>
        <w:t xml:space="preserve">While TAM primarily focuses on perceived ease of use and perceived usefulness as determinants of technology acceptance, this study expands on these constructs by incorporating trust and service confirmation as critical components in the </w:t>
      </w:r>
      <w:r w:rsidR="005D6E88">
        <w:t>Fintech</w:t>
      </w:r>
      <w:r>
        <w:t xml:space="preserve"> context. This broadened perspective adds depth to the existing literature, highlighting the importance of emotional and psychological factors in the adoption process.</w:t>
      </w:r>
      <w:r w:rsidR="0054147D">
        <w:t xml:space="preserve"> </w:t>
      </w:r>
      <w:r>
        <w:t>The study highlights the unique challenges faced by elderly individuals in adopting digital technologies. By focusing on factors such as trust and service confirmation, this research sheds light on the specific barriers that may hinder or facilitate the adoption process. This emphasis on user-centric design can inform future research and practical applications aimed at improving digital accessibility for elderly users.</w:t>
      </w:r>
      <w:r w:rsidR="00643F61">
        <w:t xml:space="preserve"> </w:t>
      </w:r>
      <w:r>
        <w:t xml:space="preserve">Future studies can build upon this framework by exploring additional variables that may influence </w:t>
      </w:r>
      <w:r w:rsidR="005D6E88">
        <w:t>Fintech</w:t>
      </w:r>
      <w:r>
        <w:t xml:space="preserve"> adoption among the elderly, such as social support, health status, and prior experience with technology. Understanding these interactions can further enhance the development of tailored </w:t>
      </w:r>
      <w:r w:rsidR="005D6E88">
        <w:t>Fintech</w:t>
      </w:r>
      <w:r>
        <w:t xml:space="preserve"> solutions that cater to the needs of older adults.</w:t>
      </w:r>
      <w:r w:rsidR="0054147D">
        <w:t xml:space="preserve"> T</w:t>
      </w:r>
      <w:r>
        <w:t xml:space="preserve">he adoption of </w:t>
      </w:r>
      <w:r w:rsidR="005D6E88">
        <w:t>Fintech</w:t>
      </w:r>
      <w:r>
        <w:t xml:space="preserve"> among elderly individuals in Bangladesh is significantly influenced by service confirmation, perceived ease of use, perceived usefulness, and trust. </w:t>
      </w:r>
      <w:r w:rsidR="005D6E88">
        <w:t>Fintech</w:t>
      </w:r>
      <w:r>
        <w:t xml:space="preserve"> platforms that prioritize ease of use, utility, and security are better positioned to enhance user satisfaction, leading to sustained engagement and loyalty. This research not only provides practical insights for </w:t>
      </w:r>
      <w:r w:rsidR="005D6E88">
        <w:t>Fintech</w:t>
      </w:r>
      <w:r>
        <w:t xml:space="preserve"> providers but also enriches theoretical discussions surrounding technology adoption among unique populations. By addressing the specific needs of elderly users, </w:t>
      </w:r>
      <w:r w:rsidR="005D6E88">
        <w:t>Fintech</w:t>
      </w:r>
      <w:r>
        <w:t xml:space="preserve"> providers can foster successful adoption, ultimately contributing to greater financial inclusion for this demographic.</w:t>
      </w:r>
    </w:p>
    <w:p w:rsidR="00643F61" w:rsidRPr="00643F61" w:rsidRDefault="00643F61" w:rsidP="00ED0815">
      <w:pPr>
        <w:spacing w:before="100" w:beforeAutospacing="1" w:after="100" w:afterAutospacing="1" w:line="360" w:lineRule="auto"/>
        <w:outlineLvl w:val="2"/>
        <w:rPr>
          <w:rFonts w:ascii="Times New Roman" w:eastAsia="Times New Roman" w:hAnsi="Times New Roman" w:cs="Times New Roman"/>
          <w:b/>
          <w:bCs/>
          <w:sz w:val="27"/>
          <w:szCs w:val="27"/>
          <w:lang w:val="en-US"/>
        </w:rPr>
      </w:pPr>
      <w:r w:rsidRPr="00643F61">
        <w:rPr>
          <w:rFonts w:ascii="Times New Roman" w:eastAsia="Times New Roman" w:hAnsi="Times New Roman" w:cs="Times New Roman"/>
          <w:b/>
          <w:bCs/>
          <w:sz w:val="27"/>
          <w:szCs w:val="27"/>
          <w:lang w:val="en-US"/>
        </w:rPr>
        <w:t>Research Limitations</w:t>
      </w:r>
      <w:r w:rsidR="0054147D">
        <w:rPr>
          <w:rFonts w:ascii="Times New Roman" w:eastAsia="Times New Roman" w:hAnsi="Times New Roman" w:cs="Times New Roman"/>
          <w:b/>
          <w:bCs/>
          <w:sz w:val="27"/>
          <w:szCs w:val="27"/>
          <w:lang w:val="en-US"/>
        </w:rPr>
        <w:t xml:space="preserve"> and Future Direction:</w:t>
      </w:r>
    </w:p>
    <w:p w:rsidR="00F96FC1" w:rsidRDefault="00643F61" w:rsidP="00ED0815">
      <w:pPr>
        <w:spacing w:before="100" w:beforeAutospacing="1" w:after="100" w:afterAutospacing="1" w:line="360" w:lineRule="auto"/>
        <w:jc w:val="both"/>
        <w:rPr>
          <w:rFonts w:ascii="Times New Roman" w:eastAsia="Times New Roman" w:hAnsi="Times New Roman" w:cs="Times New Roman"/>
          <w:sz w:val="24"/>
          <w:szCs w:val="24"/>
          <w:lang w:val="en-US"/>
        </w:rPr>
      </w:pPr>
      <w:r w:rsidRPr="00643F61">
        <w:rPr>
          <w:rFonts w:ascii="Times New Roman" w:eastAsia="Times New Roman" w:hAnsi="Times New Roman" w:cs="Times New Roman"/>
          <w:sz w:val="24"/>
          <w:szCs w:val="24"/>
          <w:lang w:val="en-US"/>
        </w:rPr>
        <w:t xml:space="preserve">Despite the valuable insights provided by this study on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among the elderly population in Bangladesh, several l</w:t>
      </w:r>
      <w:r w:rsidR="0054147D">
        <w:rPr>
          <w:rFonts w:ascii="Times New Roman" w:eastAsia="Times New Roman" w:hAnsi="Times New Roman" w:cs="Times New Roman"/>
          <w:sz w:val="24"/>
          <w:szCs w:val="24"/>
          <w:lang w:val="en-US"/>
        </w:rPr>
        <w:t xml:space="preserve">imitations must be acknowledged. </w:t>
      </w:r>
      <w:r w:rsidRPr="00643F61">
        <w:rPr>
          <w:rFonts w:ascii="Times New Roman" w:eastAsia="Times New Roman" w:hAnsi="Times New Roman" w:cs="Times New Roman"/>
          <w:sz w:val="24"/>
          <w:szCs w:val="24"/>
          <w:lang w:val="en-US"/>
        </w:rPr>
        <w:t xml:space="preserve">The research is specific to Bangladesh, which limits the generalizability of the findings to other countries with different technological infrastructures, cultural factors, and levels of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development. Elderly users in other regions may face different challenges or have varying levels of trust in technology.</w:t>
      </w:r>
      <w:r w:rsidR="0054147D">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The study utilizes a cross-sectional design, capturing data at a single point in time. This limits the ability to track changes in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behavior over time, especially as elderly users may gradually become more familiar with the technology or as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platforms evolve.</w:t>
      </w:r>
      <w:r w:rsidR="0054147D">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While the study focuses on key variables such as service confirmation, perceived ease of use (PEU), perceived usefulness (PU), and trust, other factors that may influence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among elderly users, such as social support, financial literacy, health status, or prior experience with technology, were not explored.</w:t>
      </w:r>
      <w:r w:rsidR="00140369">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The study relies on self-reported data, which can be subject to biases such as social desirability bias or recall bias. </w:t>
      </w:r>
    </w:p>
    <w:p w:rsidR="00643F61" w:rsidRPr="00643F61" w:rsidRDefault="00643F61" w:rsidP="00F96FC1">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643F61">
        <w:rPr>
          <w:rFonts w:ascii="Times New Roman" w:eastAsia="Times New Roman" w:hAnsi="Times New Roman" w:cs="Times New Roman"/>
          <w:sz w:val="24"/>
          <w:szCs w:val="24"/>
          <w:lang w:val="en-US"/>
        </w:rPr>
        <w:t xml:space="preserve">Elderly respondents might overstate their comfort or satisfaction with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platforms due to social pressures or misremember their actual experiences.</w:t>
      </w:r>
      <w:r w:rsidR="0054147D">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The sample used in the study may not fully represent the diversity within the elderly population in Bangladesh. Differences in educational background, socioeconomic status, and urban versus rural residence may significantly affect the perceptions and experiences of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users, which the current study might not have captured comprehensively.</w:t>
      </w:r>
      <w:r w:rsidR="0054147D">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The study assumes a uniform experience with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platforms, but variations in design, accessibility, and functionality among different platforms were not accounted for. Elderly users may have vastly different experiences based on which specific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services they use.</w:t>
      </w:r>
      <w:r w:rsidR="00140369">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Building on the findings of this study, future research could expand the understanding of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among elderly users in the following ways:</w:t>
      </w:r>
      <w:r>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Future research could employ longitudinal studies to observe how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among elderly users evolves over time. By tracking user behavior, perceptions, and satisfaction across different phases of adoption, researchers can gain deeper insights into the long-term challenges and enablers of sustained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use.</w:t>
      </w:r>
      <w:r>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Comparative studies across different countries or regions with varying levels of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infrastructure and cultural attitudes toward technology adoption would provide a more global perspective. This could identify unique challenges or solutions in different cultural contexts that influence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among the elderly.</w:t>
      </w:r>
    </w:p>
    <w:p w:rsidR="00643F61" w:rsidRDefault="00643F61" w:rsidP="00ED0815">
      <w:pPr>
        <w:spacing w:before="100" w:beforeAutospacing="1" w:after="100" w:afterAutospacing="1" w:line="360" w:lineRule="auto"/>
        <w:ind w:firstLine="720"/>
        <w:jc w:val="both"/>
        <w:rPr>
          <w:rFonts w:ascii="Times New Roman" w:eastAsia="Times New Roman" w:hAnsi="Times New Roman" w:cs="Times New Roman"/>
          <w:sz w:val="24"/>
          <w:szCs w:val="24"/>
          <w:lang w:val="en-US"/>
        </w:rPr>
      </w:pPr>
      <w:r w:rsidRPr="00643F61">
        <w:rPr>
          <w:rFonts w:ascii="Times New Roman" w:eastAsia="Times New Roman" w:hAnsi="Times New Roman" w:cs="Times New Roman"/>
          <w:sz w:val="24"/>
          <w:szCs w:val="24"/>
          <w:lang w:val="en-US"/>
        </w:rPr>
        <w:t xml:space="preserve">Future studies could examine other factors influencing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among the elderly, such as:</w:t>
      </w:r>
      <w:r>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The role of family, friends, or caregivers in encouraging or assisting with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use.</w:t>
      </w:r>
      <w:r w:rsidR="00595485">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How physical or cognitive limitations affect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w:t>
      </w:r>
      <w:r w:rsidR="00595485">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The impact of varying levels of financial knowledge on the willingness and ability to adopt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services.</w:t>
      </w:r>
      <w:r w:rsidR="00595485">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Prior experience with digital tools and its influence on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behavior.</w:t>
      </w:r>
      <w:r>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Research could delve into platform-specific experiences to analyze how differences in user interface design, accessibility features, and customer support impact trust, satisfaction, and long-term engagement among elderly users. By identifying best practices in platform design,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providers can better cater to the needs of elderly populations.</w:t>
      </w:r>
      <w:r w:rsidR="00140369">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Exploring the role of government policies and initiatives in promoting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among the elderly could provide valuable insights. Research could exami</w:t>
      </w:r>
      <w:r w:rsidR="001D0A37">
        <w:rPr>
          <w:rFonts w:ascii="Times New Roman" w:eastAsia="Times New Roman" w:hAnsi="Times New Roman" w:cs="Times New Roman"/>
          <w:sz w:val="24"/>
          <w:szCs w:val="24"/>
          <w:lang w:val="en-US"/>
        </w:rPr>
        <w:t xml:space="preserve">ne how government interventions </w:t>
      </w:r>
      <w:r w:rsidRPr="00643F61">
        <w:rPr>
          <w:rFonts w:ascii="Times New Roman" w:eastAsia="Times New Roman" w:hAnsi="Times New Roman" w:cs="Times New Roman"/>
          <w:sz w:val="24"/>
          <w:szCs w:val="24"/>
          <w:lang w:val="en-US"/>
        </w:rPr>
        <w:t>such as digital literacy programs or fin</w:t>
      </w:r>
      <w:r w:rsidR="001D0A37">
        <w:rPr>
          <w:rFonts w:ascii="Times New Roman" w:eastAsia="Times New Roman" w:hAnsi="Times New Roman" w:cs="Times New Roman"/>
          <w:sz w:val="24"/>
          <w:szCs w:val="24"/>
          <w:lang w:val="en-US"/>
        </w:rPr>
        <w:t xml:space="preserve">ancial incentives </w:t>
      </w:r>
      <w:r w:rsidRPr="00643F61">
        <w:rPr>
          <w:rFonts w:ascii="Times New Roman" w:eastAsia="Times New Roman" w:hAnsi="Times New Roman" w:cs="Times New Roman"/>
          <w:sz w:val="24"/>
          <w:szCs w:val="24"/>
          <w:lang w:val="en-US"/>
        </w:rPr>
        <w:t>affect the adoption process, especially for underserved or vulnerable elderly populations.</w:t>
      </w:r>
      <w:r>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In addition to self-reported measures, future research could incorporate actual behavioral data from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platforms to track usage patterns, transaction frequency, and drop-off rates. This data could provide more objective insights into how elderly users engage with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services and identify specific points where they face difficulties or disengage.</w:t>
      </w:r>
      <w:r>
        <w:rPr>
          <w:rFonts w:ascii="Times New Roman" w:eastAsia="Times New Roman" w:hAnsi="Times New Roman" w:cs="Times New Roman"/>
          <w:sz w:val="24"/>
          <w:szCs w:val="24"/>
          <w:lang w:val="en-US"/>
        </w:rPr>
        <w:t xml:space="preserve"> </w:t>
      </w:r>
      <w:r w:rsidRPr="00643F61">
        <w:rPr>
          <w:rFonts w:ascii="Times New Roman" w:eastAsia="Times New Roman" w:hAnsi="Times New Roman" w:cs="Times New Roman"/>
          <w:sz w:val="24"/>
          <w:szCs w:val="24"/>
          <w:lang w:val="en-US"/>
        </w:rPr>
        <w:t xml:space="preserve">By addressing these limitations and pursuing these future research directions, a more comprehensive understanding of </w:t>
      </w:r>
      <w:r w:rsidR="005D6E88">
        <w:rPr>
          <w:rFonts w:ascii="Times New Roman" w:eastAsia="Times New Roman" w:hAnsi="Times New Roman" w:cs="Times New Roman"/>
          <w:sz w:val="24"/>
          <w:szCs w:val="24"/>
          <w:lang w:val="en-US"/>
        </w:rPr>
        <w:t>Fintech</w:t>
      </w:r>
      <w:r w:rsidRPr="00643F61">
        <w:rPr>
          <w:rFonts w:ascii="Times New Roman" w:eastAsia="Times New Roman" w:hAnsi="Times New Roman" w:cs="Times New Roman"/>
          <w:sz w:val="24"/>
          <w:szCs w:val="24"/>
          <w:lang w:val="en-US"/>
        </w:rPr>
        <w:t xml:space="preserve"> adoption among elderly populations can be achieved, ultimately contributing to more effective digital financial inclusion strategies.</w:t>
      </w:r>
    </w:p>
    <w:p w:rsidR="00643F61" w:rsidRPr="002A7214" w:rsidRDefault="006326C9" w:rsidP="00CC7827">
      <w:pPr>
        <w:rPr>
          <w:rFonts w:ascii="Times New Roman" w:hAnsi="Times New Roman" w:cs="Times New Roman"/>
          <w:b/>
          <w:sz w:val="28"/>
          <w:szCs w:val="28"/>
        </w:rPr>
      </w:pPr>
      <w:r w:rsidRPr="002A7214">
        <w:rPr>
          <w:rFonts w:ascii="Times New Roman" w:hAnsi="Times New Roman" w:cs="Times New Roman"/>
          <w:b/>
          <w:sz w:val="28"/>
          <w:szCs w:val="28"/>
        </w:rPr>
        <w:t>References:</w:t>
      </w:r>
    </w:p>
    <w:p w:rsidR="001D0A37" w:rsidRDefault="001D0A37" w:rsidP="00381E06">
      <w:pPr>
        <w:pStyle w:val="ListParagraph"/>
        <w:spacing w:after="0" w:line="240" w:lineRule="auto"/>
        <w:rPr>
          <w:rFonts w:ascii="Times New Roman" w:eastAsia="Times New Roman" w:hAnsi="Times New Roman" w:cs="Times New Roman"/>
          <w:sz w:val="24"/>
          <w:szCs w:val="24"/>
          <w:lang w:val="en-US"/>
        </w:rPr>
      </w:pPr>
    </w:p>
    <w:p w:rsidR="00906036" w:rsidRPr="00A27BFB" w:rsidRDefault="001D0A37" w:rsidP="00906036">
      <w:pPr>
        <w:pStyle w:val="EndNoteBibliography"/>
        <w:spacing w:after="0"/>
        <w:ind w:left="720" w:hanging="720"/>
        <w:rPr>
          <w:rFonts w:ascii="Times New Roman" w:hAnsi="Times New Roman" w:cs="Times New Roman"/>
          <w:sz w:val="24"/>
          <w:szCs w:val="24"/>
        </w:rPr>
      </w:pPr>
      <w:r w:rsidRPr="00A27BFB">
        <w:rPr>
          <w:rFonts w:ascii="Times New Roman" w:eastAsia="Times New Roman" w:hAnsi="Times New Roman" w:cs="Times New Roman"/>
          <w:sz w:val="24"/>
          <w:szCs w:val="24"/>
        </w:rPr>
        <w:fldChar w:fldCharType="begin"/>
      </w:r>
      <w:r w:rsidRPr="00A27BFB">
        <w:rPr>
          <w:rFonts w:ascii="Times New Roman" w:eastAsia="Times New Roman" w:hAnsi="Times New Roman" w:cs="Times New Roman"/>
          <w:sz w:val="24"/>
          <w:szCs w:val="24"/>
        </w:rPr>
        <w:instrText xml:space="preserve"> ADDIN EN.REFLIST </w:instrText>
      </w:r>
      <w:r w:rsidRPr="00A27BFB">
        <w:rPr>
          <w:rFonts w:ascii="Times New Roman" w:eastAsia="Times New Roman" w:hAnsi="Times New Roman" w:cs="Times New Roman"/>
          <w:sz w:val="24"/>
          <w:szCs w:val="24"/>
        </w:rPr>
        <w:fldChar w:fldCharType="separate"/>
      </w:r>
      <w:r w:rsidR="00906036" w:rsidRPr="00A27BFB">
        <w:rPr>
          <w:rFonts w:ascii="Times New Roman" w:hAnsi="Times New Roman" w:cs="Times New Roman"/>
          <w:sz w:val="24"/>
          <w:szCs w:val="24"/>
        </w:rPr>
        <w:t xml:space="preserve">Abdul-Rahim, R., Bohari, S. A., Aman, A., &amp; Awang, Z. (2022). Benefit–Risk Perceptions of FinTech Adoption for Sustainability from Bank Consumers’ Perspective: The Moderating Role of Fear of COVID-19. </w:t>
      </w:r>
      <w:r w:rsidR="00906036" w:rsidRPr="00A27BFB">
        <w:rPr>
          <w:rFonts w:ascii="Times New Roman" w:hAnsi="Times New Roman" w:cs="Times New Roman"/>
          <w:i/>
          <w:sz w:val="24"/>
          <w:szCs w:val="24"/>
        </w:rPr>
        <w:t>Sustainability, 14</w:t>
      </w:r>
      <w:r w:rsidR="00906036" w:rsidRPr="00A27BFB">
        <w:rPr>
          <w:rFonts w:ascii="Times New Roman" w:hAnsi="Times New Roman" w:cs="Times New Roman"/>
          <w:sz w:val="24"/>
          <w:szCs w:val="24"/>
        </w:rPr>
        <w:t>(14). doi:10.3390/su14148357</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Ahmad, S. Z., &amp; Khalid, K. (2017). The adoption of M-government services from the user’s perspectives: Empirical evidence from the United Arab Emirates. </w:t>
      </w:r>
      <w:r w:rsidRPr="00A27BFB">
        <w:rPr>
          <w:rFonts w:ascii="Times New Roman" w:hAnsi="Times New Roman" w:cs="Times New Roman"/>
          <w:i/>
          <w:sz w:val="24"/>
          <w:szCs w:val="24"/>
        </w:rPr>
        <w:t>International Journal of Information Management, 37</w:t>
      </w:r>
      <w:r w:rsidRPr="00A27BFB">
        <w:rPr>
          <w:rFonts w:ascii="Times New Roman" w:hAnsi="Times New Roman" w:cs="Times New Roman"/>
          <w:sz w:val="24"/>
          <w:szCs w:val="24"/>
        </w:rPr>
        <w:t>(5), 367-379. doi:</w:t>
      </w:r>
      <w:hyperlink r:id="rId9" w:history="1">
        <w:r w:rsidRPr="00A27BFB">
          <w:rPr>
            <w:rStyle w:val="Hyperlink"/>
            <w:rFonts w:ascii="Times New Roman" w:hAnsi="Times New Roman" w:cs="Times New Roman"/>
            <w:sz w:val="24"/>
            <w:szCs w:val="24"/>
          </w:rPr>
          <w:t>https://doi.org/10.1016/j.ijinfomgt.2017.03.008</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Aziz, A., &amp; Naima, U. (2021). Rethinking digital financial inclusion: Evidence from Bangladesh. </w:t>
      </w:r>
      <w:r w:rsidRPr="00A27BFB">
        <w:rPr>
          <w:rFonts w:ascii="Times New Roman" w:hAnsi="Times New Roman" w:cs="Times New Roman"/>
          <w:i/>
          <w:sz w:val="24"/>
          <w:szCs w:val="24"/>
        </w:rPr>
        <w:t>Technology in Society, 64</w:t>
      </w:r>
      <w:r w:rsidRPr="00A27BFB">
        <w:rPr>
          <w:rFonts w:ascii="Times New Roman" w:hAnsi="Times New Roman" w:cs="Times New Roman"/>
          <w:sz w:val="24"/>
          <w:szCs w:val="24"/>
        </w:rPr>
        <w:t>, 101509. doi:</w:t>
      </w:r>
      <w:hyperlink r:id="rId10" w:history="1">
        <w:r w:rsidRPr="00A27BFB">
          <w:rPr>
            <w:rStyle w:val="Hyperlink"/>
            <w:rFonts w:ascii="Times New Roman" w:hAnsi="Times New Roman" w:cs="Times New Roman"/>
            <w:sz w:val="24"/>
            <w:szCs w:val="24"/>
          </w:rPr>
          <w:t>https://doi.org/10.1016/j.techsoc.2020.101509</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Bajunaied, K., Hussin, N., &amp; Kamarudin, S. (2023). Behavioral intention to adopt FinTech services: An extension of unified theory of acceptance and use of technology. </w:t>
      </w:r>
      <w:r w:rsidRPr="00A27BFB">
        <w:rPr>
          <w:rFonts w:ascii="Times New Roman" w:hAnsi="Times New Roman" w:cs="Times New Roman"/>
          <w:i/>
          <w:sz w:val="24"/>
          <w:szCs w:val="24"/>
        </w:rPr>
        <w:t>Journal of Open Innovation: Technology, Market, and Complexity, 9</w:t>
      </w:r>
      <w:r w:rsidRPr="00A27BFB">
        <w:rPr>
          <w:rFonts w:ascii="Times New Roman" w:hAnsi="Times New Roman" w:cs="Times New Roman"/>
          <w:sz w:val="24"/>
          <w:szCs w:val="24"/>
        </w:rPr>
        <w:t>(1), 100010. doi:</w:t>
      </w:r>
      <w:hyperlink r:id="rId11" w:history="1">
        <w:r w:rsidRPr="00A27BFB">
          <w:rPr>
            <w:rStyle w:val="Hyperlink"/>
            <w:rFonts w:ascii="Times New Roman" w:hAnsi="Times New Roman" w:cs="Times New Roman"/>
            <w:sz w:val="24"/>
            <w:szCs w:val="24"/>
          </w:rPr>
          <w:t>https://doi.org/10.1016/j.joitmc.2023.100010</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Barkhi, R., &amp; Wallace, L. (2007). The impact of personality type on purchasing decisions in virtual stores. </w:t>
      </w:r>
      <w:r w:rsidRPr="00A27BFB">
        <w:rPr>
          <w:rFonts w:ascii="Times New Roman" w:hAnsi="Times New Roman" w:cs="Times New Roman"/>
          <w:i/>
          <w:sz w:val="24"/>
          <w:szCs w:val="24"/>
        </w:rPr>
        <w:t>Information Technology and Management, 8</w:t>
      </w:r>
      <w:r w:rsidRPr="00A27BFB">
        <w:rPr>
          <w:rFonts w:ascii="Times New Roman" w:hAnsi="Times New Roman" w:cs="Times New Roman"/>
          <w:sz w:val="24"/>
          <w:szCs w:val="24"/>
        </w:rPr>
        <w:t>(4), 313-330. doi:10.1007/s10799-007-0021-y</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Barr, N., &amp; Diamond, P. (2009). Reforming pensions: Principles, analytical errors and policy directions. </w:t>
      </w:r>
      <w:r w:rsidRPr="00A27BFB">
        <w:rPr>
          <w:rFonts w:ascii="Times New Roman" w:hAnsi="Times New Roman" w:cs="Times New Roman"/>
          <w:i/>
          <w:sz w:val="24"/>
          <w:szCs w:val="24"/>
        </w:rPr>
        <w:t>International Social Security Review, 62</w:t>
      </w:r>
      <w:r w:rsidRPr="00A27BFB">
        <w:rPr>
          <w:rFonts w:ascii="Times New Roman" w:hAnsi="Times New Roman" w:cs="Times New Roman"/>
          <w:sz w:val="24"/>
          <w:szCs w:val="24"/>
        </w:rPr>
        <w:t>(2), 5-29. doi:</w:t>
      </w:r>
      <w:hyperlink r:id="rId12" w:history="1">
        <w:r w:rsidRPr="00A27BFB">
          <w:rPr>
            <w:rStyle w:val="Hyperlink"/>
            <w:rFonts w:ascii="Times New Roman" w:hAnsi="Times New Roman" w:cs="Times New Roman"/>
            <w:sz w:val="24"/>
            <w:szCs w:val="24"/>
          </w:rPr>
          <w:t>https://doi.org/10.1111/j.1468-246X.2009.01327.x</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Bhattacherjee, A. (2001). Understanding Information Systems Continuance: An Expectation-Confirmation Model. </w:t>
      </w:r>
      <w:r w:rsidRPr="00A27BFB">
        <w:rPr>
          <w:rFonts w:ascii="Times New Roman" w:hAnsi="Times New Roman" w:cs="Times New Roman"/>
          <w:i/>
          <w:sz w:val="24"/>
          <w:szCs w:val="24"/>
        </w:rPr>
        <w:t>MIS Quarterly, 25</w:t>
      </w:r>
      <w:r w:rsidRPr="00A27BFB">
        <w:rPr>
          <w:rFonts w:ascii="Times New Roman" w:hAnsi="Times New Roman" w:cs="Times New Roman"/>
          <w:sz w:val="24"/>
          <w:szCs w:val="24"/>
        </w:rPr>
        <w:t>(3), 351-370. doi:10.2307/3250921</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Chand, M. (2018). Aging in South Asia: challenges and opportunities. </w:t>
      </w:r>
      <w:r w:rsidRPr="00A27BFB">
        <w:rPr>
          <w:rFonts w:ascii="Times New Roman" w:hAnsi="Times New Roman" w:cs="Times New Roman"/>
          <w:i/>
          <w:sz w:val="24"/>
          <w:szCs w:val="24"/>
        </w:rPr>
        <w:t>South Asian Journal of Business Studies, 7</w:t>
      </w:r>
      <w:r w:rsidRPr="00A27BFB">
        <w:rPr>
          <w:rFonts w:ascii="Times New Roman" w:hAnsi="Times New Roman" w:cs="Times New Roman"/>
          <w:sz w:val="24"/>
          <w:szCs w:val="24"/>
        </w:rPr>
        <w:t>(2), 189-206. doi:10.1108/SAJBS-09-2017-0103</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Choi, H., Kim, Y., &amp; Kim, J. (2011). Driving factors of post adoption behavior in mobile data services. </w:t>
      </w:r>
      <w:r w:rsidRPr="00A27BFB">
        <w:rPr>
          <w:rFonts w:ascii="Times New Roman" w:hAnsi="Times New Roman" w:cs="Times New Roman"/>
          <w:i/>
          <w:sz w:val="24"/>
          <w:szCs w:val="24"/>
        </w:rPr>
        <w:t>Journal of Business Research, 64</w:t>
      </w:r>
      <w:r w:rsidRPr="00A27BFB">
        <w:rPr>
          <w:rFonts w:ascii="Times New Roman" w:hAnsi="Times New Roman" w:cs="Times New Roman"/>
          <w:sz w:val="24"/>
          <w:szCs w:val="24"/>
        </w:rPr>
        <w:t>(11), 1212-1217. doi:</w:t>
      </w:r>
      <w:hyperlink r:id="rId13" w:history="1">
        <w:r w:rsidRPr="00A27BFB">
          <w:rPr>
            <w:rStyle w:val="Hyperlink"/>
            <w:rFonts w:ascii="Times New Roman" w:hAnsi="Times New Roman" w:cs="Times New Roman"/>
            <w:sz w:val="24"/>
            <w:szCs w:val="24"/>
          </w:rPr>
          <w:t>https://doi.org/10.1016/j.jbusres.2011.06.025</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Deng, X., Huang, Z., &amp; Cheng, X. (2019). FinTech and Sustainable Development: Evidence from China Based on P2P Data. </w:t>
      </w:r>
      <w:r w:rsidRPr="00A27BFB">
        <w:rPr>
          <w:rFonts w:ascii="Times New Roman" w:hAnsi="Times New Roman" w:cs="Times New Roman"/>
          <w:i/>
          <w:sz w:val="24"/>
          <w:szCs w:val="24"/>
        </w:rPr>
        <w:t>Sustainability, 11</w:t>
      </w:r>
      <w:r w:rsidRPr="00A27BFB">
        <w:rPr>
          <w:rFonts w:ascii="Times New Roman" w:hAnsi="Times New Roman" w:cs="Times New Roman"/>
          <w:sz w:val="24"/>
          <w:szCs w:val="24"/>
        </w:rPr>
        <w:t>(22). doi:10.3390/su11226434</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Duvendack, M., Sonne, L., &amp; Garikipati, S. (2023). Gender Inclusivity of India’s Digital Financial Revolution for Attainment of SDGs: Macro Achievements and the Micro Experiences of Targeted Initiatives. </w:t>
      </w:r>
      <w:r w:rsidRPr="00A27BFB">
        <w:rPr>
          <w:rFonts w:ascii="Times New Roman" w:hAnsi="Times New Roman" w:cs="Times New Roman"/>
          <w:i/>
          <w:sz w:val="24"/>
          <w:szCs w:val="24"/>
        </w:rPr>
        <w:t>The European Journal of Development Research, 35</w:t>
      </w:r>
      <w:r w:rsidRPr="00A27BFB">
        <w:rPr>
          <w:rFonts w:ascii="Times New Roman" w:hAnsi="Times New Roman" w:cs="Times New Roman"/>
          <w:sz w:val="24"/>
          <w:szCs w:val="24"/>
        </w:rPr>
        <w:t>(6), 1369-1391. doi:10.1057/s41287-023-00585-x</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Dwivedi, R., Alrasheedi, M., Dwivedi, P., &amp; Starešinić, B. (2022). Leveraging Financial Inclusion Through Technology-Enabled Services Innovation: A Case of Economic Development in India. </w:t>
      </w:r>
      <w:r w:rsidRPr="00A27BFB">
        <w:rPr>
          <w:rFonts w:ascii="Times New Roman" w:hAnsi="Times New Roman" w:cs="Times New Roman"/>
          <w:i/>
          <w:sz w:val="24"/>
          <w:szCs w:val="24"/>
        </w:rPr>
        <w:t>International Journal of E-Services and Mobile Applications (IJESMA), 14</w:t>
      </w:r>
      <w:r w:rsidRPr="00A27BFB">
        <w:rPr>
          <w:rFonts w:ascii="Times New Roman" w:hAnsi="Times New Roman" w:cs="Times New Roman"/>
          <w:sz w:val="24"/>
          <w:szCs w:val="24"/>
        </w:rPr>
        <w:t>(1), 1-13. doi:10.4018/IJESMA.289633</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Ebrahim, Z., &amp; Irani, Z. (2005). E‐government adoption: architecture and barriers. </w:t>
      </w:r>
      <w:r w:rsidRPr="00A27BFB">
        <w:rPr>
          <w:rFonts w:ascii="Times New Roman" w:hAnsi="Times New Roman" w:cs="Times New Roman"/>
          <w:i/>
          <w:sz w:val="24"/>
          <w:szCs w:val="24"/>
        </w:rPr>
        <w:t>Business Process Management Journal, 11</w:t>
      </w:r>
      <w:r w:rsidRPr="00A27BFB">
        <w:rPr>
          <w:rFonts w:ascii="Times New Roman" w:hAnsi="Times New Roman" w:cs="Times New Roman"/>
          <w:sz w:val="24"/>
          <w:szCs w:val="24"/>
        </w:rPr>
        <w:t>(5), 589-611. doi:10.1108/14637150510619902</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Esmaeilpour Moghadam, H., &amp; Karami, A. (2023). Financial inclusion through FinTech and women's financial empowerment. </w:t>
      </w:r>
      <w:r w:rsidRPr="00A27BFB">
        <w:rPr>
          <w:rFonts w:ascii="Times New Roman" w:hAnsi="Times New Roman" w:cs="Times New Roman"/>
          <w:i/>
          <w:sz w:val="24"/>
          <w:szCs w:val="24"/>
        </w:rPr>
        <w:t>International Journal of Social Economics, 50</w:t>
      </w:r>
      <w:r w:rsidRPr="00A27BFB">
        <w:rPr>
          <w:rFonts w:ascii="Times New Roman" w:hAnsi="Times New Roman" w:cs="Times New Roman"/>
          <w:sz w:val="24"/>
          <w:szCs w:val="24"/>
        </w:rPr>
        <w:t>(8), 1038-1059. doi:10.1108/IJSE-04-2022-0246</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Flavián, C., Pérez-Rueda, A., Belanche, D., &amp; Casaló, L. V. (2022). Intention to use analytical artificial intelligence (AI) in services – the effect of technology readiness and awareness. </w:t>
      </w:r>
      <w:r w:rsidRPr="00A27BFB">
        <w:rPr>
          <w:rFonts w:ascii="Times New Roman" w:hAnsi="Times New Roman" w:cs="Times New Roman"/>
          <w:i/>
          <w:sz w:val="24"/>
          <w:szCs w:val="24"/>
        </w:rPr>
        <w:t>Journal of Service Management, 33</w:t>
      </w:r>
      <w:r w:rsidRPr="00A27BFB">
        <w:rPr>
          <w:rFonts w:ascii="Times New Roman" w:hAnsi="Times New Roman" w:cs="Times New Roman"/>
          <w:sz w:val="24"/>
          <w:szCs w:val="24"/>
        </w:rPr>
        <w:t>(2), 293-320. doi:10.1108/JOSM-10-2020-0378</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Giddings, B., Hopwood, B., &amp; O'brien, G. (2002). Environment, economy and society: fitting them together into sustainable development. </w:t>
      </w:r>
      <w:r w:rsidRPr="00A27BFB">
        <w:rPr>
          <w:rFonts w:ascii="Times New Roman" w:hAnsi="Times New Roman" w:cs="Times New Roman"/>
          <w:i/>
          <w:sz w:val="24"/>
          <w:szCs w:val="24"/>
        </w:rPr>
        <w:t>Sustainable development, 10</w:t>
      </w:r>
      <w:r w:rsidRPr="00A27BFB">
        <w:rPr>
          <w:rFonts w:ascii="Times New Roman" w:hAnsi="Times New Roman" w:cs="Times New Roman"/>
          <w:sz w:val="24"/>
          <w:szCs w:val="24"/>
        </w:rPr>
        <w:t xml:space="preserve">(4), 187-196. </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Hassan, M. S., Islam, M. A., Sobhani, F. A., Nasir, H., Mahmud, I., &amp; Zahra, F. T. (2022). Drivers Influencing the Adoption Intention towards Mobile Fintech Services: A Study on the Emerging Bangladesh Market. </w:t>
      </w:r>
      <w:r w:rsidRPr="00A27BFB">
        <w:rPr>
          <w:rFonts w:ascii="Times New Roman" w:hAnsi="Times New Roman" w:cs="Times New Roman"/>
          <w:i/>
          <w:sz w:val="24"/>
          <w:szCs w:val="24"/>
        </w:rPr>
        <w:t>Information, 13</w:t>
      </w:r>
      <w:r w:rsidRPr="00A27BFB">
        <w:rPr>
          <w:rFonts w:ascii="Times New Roman" w:hAnsi="Times New Roman" w:cs="Times New Roman"/>
          <w:sz w:val="24"/>
          <w:szCs w:val="24"/>
        </w:rPr>
        <w:t>(7). doi:10.3390/info13070349</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Hoque, R., &amp; Sorwar, G. (2017). Understanding factors influencing the adoption of mHealth by the elderly: An extension of the UTAUT model. </w:t>
      </w:r>
      <w:r w:rsidRPr="00A27BFB">
        <w:rPr>
          <w:rFonts w:ascii="Times New Roman" w:hAnsi="Times New Roman" w:cs="Times New Roman"/>
          <w:i/>
          <w:sz w:val="24"/>
          <w:szCs w:val="24"/>
        </w:rPr>
        <w:t>International Journal of Medical Informatics, 101</w:t>
      </w:r>
      <w:r w:rsidRPr="00A27BFB">
        <w:rPr>
          <w:rFonts w:ascii="Times New Roman" w:hAnsi="Times New Roman" w:cs="Times New Roman"/>
          <w:sz w:val="24"/>
          <w:szCs w:val="24"/>
        </w:rPr>
        <w:t>, 75-84. doi:</w:t>
      </w:r>
      <w:hyperlink r:id="rId14" w:history="1">
        <w:r w:rsidRPr="00A27BFB">
          <w:rPr>
            <w:rStyle w:val="Hyperlink"/>
            <w:rFonts w:ascii="Times New Roman" w:hAnsi="Times New Roman" w:cs="Times New Roman"/>
            <w:sz w:val="24"/>
            <w:szCs w:val="24"/>
          </w:rPr>
          <w:t>https://doi.org/10.1016/j.ijmedinf.2017.02.002</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Huang, D., Jin, X., &amp; Coghlan, A. (2021). Advances in consumer innovation resistance research: A review and research agenda. </w:t>
      </w:r>
      <w:r w:rsidRPr="00A27BFB">
        <w:rPr>
          <w:rFonts w:ascii="Times New Roman" w:hAnsi="Times New Roman" w:cs="Times New Roman"/>
          <w:i/>
          <w:sz w:val="24"/>
          <w:szCs w:val="24"/>
        </w:rPr>
        <w:t>Technological Forecasting and Social Change, 166</w:t>
      </w:r>
      <w:r w:rsidRPr="00A27BFB">
        <w:rPr>
          <w:rFonts w:ascii="Times New Roman" w:hAnsi="Times New Roman" w:cs="Times New Roman"/>
          <w:sz w:val="24"/>
          <w:szCs w:val="24"/>
        </w:rPr>
        <w:t>, 120594. doi:</w:t>
      </w:r>
      <w:hyperlink r:id="rId15" w:history="1">
        <w:r w:rsidRPr="00A27BFB">
          <w:rPr>
            <w:rStyle w:val="Hyperlink"/>
            <w:rFonts w:ascii="Times New Roman" w:hAnsi="Times New Roman" w:cs="Times New Roman"/>
            <w:sz w:val="24"/>
            <w:szCs w:val="24"/>
          </w:rPr>
          <w:t>https://doi.org/10.1016/j.techfore.2021.120594</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Hwang, W.-S., &amp; Kim, H.-S. (2022). Does the adoption of emerging technologies improve technical efficiency? Evidence from Korean manufacturing SMEs. </w:t>
      </w:r>
      <w:r w:rsidRPr="00A27BFB">
        <w:rPr>
          <w:rFonts w:ascii="Times New Roman" w:hAnsi="Times New Roman" w:cs="Times New Roman"/>
          <w:i/>
          <w:sz w:val="24"/>
          <w:szCs w:val="24"/>
        </w:rPr>
        <w:t>Small Business Economics, 59</w:t>
      </w:r>
      <w:r w:rsidRPr="00A27BFB">
        <w:rPr>
          <w:rFonts w:ascii="Times New Roman" w:hAnsi="Times New Roman" w:cs="Times New Roman"/>
          <w:sz w:val="24"/>
          <w:szCs w:val="24"/>
        </w:rPr>
        <w:t>(2), 627-643. doi:10.1007/s11187-021-00554-w</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Jeyaraj, A., Dwivedi, Y. K., &amp; Venkatesh, V. (2023). Intention in information systems adoption and use: Current state and research directions. </w:t>
      </w:r>
      <w:r w:rsidRPr="00A27BFB">
        <w:rPr>
          <w:rFonts w:ascii="Times New Roman" w:hAnsi="Times New Roman" w:cs="Times New Roman"/>
          <w:i/>
          <w:sz w:val="24"/>
          <w:szCs w:val="24"/>
        </w:rPr>
        <w:t>International Journal of Information Management, 73</w:t>
      </w:r>
      <w:r w:rsidRPr="00A27BFB">
        <w:rPr>
          <w:rFonts w:ascii="Times New Roman" w:hAnsi="Times New Roman" w:cs="Times New Roman"/>
          <w:sz w:val="24"/>
          <w:szCs w:val="24"/>
        </w:rPr>
        <w:t>, 102680. doi:</w:t>
      </w:r>
      <w:hyperlink r:id="rId16" w:history="1">
        <w:r w:rsidRPr="00A27BFB">
          <w:rPr>
            <w:rStyle w:val="Hyperlink"/>
            <w:rFonts w:ascii="Times New Roman" w:hAnsi="Times New Roman" w:cs="Times New Roman"/>
            <w:sz w:val="24"/>
            <w:szCs w:val="24"/>
          </w:rPr>
          <w:t>https://doi.org/10.1016/j.ijinfomgt.2023.102680</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Karim, R. A., Sobhani, F. A., Rabiul, M. K., Lepee, N. J., Kabir, M. R., &amp; Chowdhury, M. A. (2022). Linking Fintech Payment Services and Customer Loyalty Intention in the Hospitality Industry: The Mediating Role of Customer Experience and Attitude. </w:t>
      </w:r>
      <w:r w:rsidRPr="00A27BFB">
        <w:rPr>
          <w:rFonts w:ascii="Times New Roman" w:hAnsi="Times New Roman" w:cs="Times New Roman"/>
          <w:i/>
          <w:sz w:val="24"/>
          <w:szCs w:val="24"/>
        </w:rPr>
        <w:t>Sustainability, 14</w:t>
      </w:r>
      <w:r w:rsidRPr="00A27BFB">
        <w:rPr>
          <w:rFonts w:ascii="Times New Roman" w:hAnsi="Times New Roman" w:cs="Times New Roman"/>
          <w:sz w:val="24"/>
          <w:szCs w:val="24"/>
        </w:rPr>
        <w:t>(24). doi:10.3390/su142416481</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Kass-Hanna, J., Lyons, A. C., &amp; Liu, F. (2022). Building financial resilience through financial and digital literacy in South Asia and Sub-Saharan Africa. </w:t>
      </w:r>
      <w:r w:rsidRPr="00A27BFB">
        <w:rPr>
          <w:rFonts w:ascii="Times New Roman" w:hAnsi="Times New Roman" w:cs="Times New Roman"/>
          <w:i/>
          <w:sz w:val="24"/>
          <w:szCs w:val="24"/>
        </w:rPr>
        <w:t>Emerging Markets Review, 51</w:t>
      </w:r>
      <w:r w:rsidRPr="00A27BFB">
        <w:rPr>
          <w:rFonts w:ascii="Times New Roman" w:hAnsi="Times New Roman" w:cs="Times New Roman"/>
          <w:sz w:val="24"/>
          <w:szCs w:val="24"/>
        </w:rPr>
        <w:t>, 100846. doi:</w:t>
      </w:r>
      <w:hyperlink r:id="rId17" w:history="1">
        <w:r w:rsidRPr="00A27BFB">
          <w:rPr>
            <w:rStyle w:val="Hyperlink"/>
            <w:rFonts w:ascii="Times New Roman" w:hAnsi="Times New Roman" w:cs="Times New Roman"/>
            <w:sz w:val="24"/>
            <w:szCs w:val="24"/>
          </w:rPr>
          <w:t>https://doi.org/10.1016/j.ememar.2021.100846</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Lee, J. W., &amp; Lee, S. H. (2019). User participation and valuation in digital art platforms: the case of Saatchi Art. </w:t>
      </w:r>
      <w:r w:rsidRPr="00A27BFB">
        <w:rPr>
          <w:rFonts w:ascii="Times New Roman" w:hAnsi="Times New Roman" w:cs="Times New Roman"/>
          <w:i/>
          <w:sz w:val="24"/>
          <w:szCs w:val="24"/>
        </w:rPr>
        <w:t>European Journal of Marketing, 53</w:t>
      </w:r>
      <w:r w:rsidRPr="00A27BFB">
        <w:rPr>
          <w:rFonts w:ascii="Times New Roman" w:hAnsi="Times New Roman" w:cs="Times New Roman"/>
          <w:sz w:val="24"/>
          <w:szCs w:val="24"/>
        </w:rPr>
        <w:t>(6), 1125-1151. doi:10.1108/EJM-12-2016-0788</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Malik, G., &amp; Singh, D. (2022). Personality matters: does an individual's personality affect adoption and continued use of green banking channels? </w:t>
      </w:r>
      <w:r w:rsidRPr="00A27BFB">
        <w:rPr>
          <w:rFonts w:ascii="Times New Roman" w:hAnsi="Times New Roman" w:cs="Times New Roman"/>
          <w:i/>
          <w:sz w:val="24"/>
          <w:szCs w:val="24"/>
        </w:rPr>
        <w:t>International Journal of Bank Marketing, 40</w:t>
      </w:r>
      <w:r w:rsidRPr="00A27BFB">
        <w:rPr>
          <w:rFonts w:ascii="Times New Roman" w:hAnsi="Times New Roman" w:cs="Times New Roman"/>
          <w:sz w:val="24"/>
          <w:szCs w:val="24"/>
        </w:rPr>
        <w:t>(4), 746-772. doi:10.1108/IJBM-04-2021-0133</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Martins, C., Oliveira, T., &amp; Popovič, A. (2014). Understanding the Internet banking adoption: A unified theory of acceptance and use of technology and perceived risk application. </w:t>
      </w:r>
      <w:r w:rsidRPr="00A27BFB">
        <w:rPr>
          <w:rFonts w:ascii="Times New Roman" w:hAnsi="Times New Roman" w:cs="Times New Roman"/>
          <w:i/>
          <w:sz w:val="24"/>
          <w:szCs w:val="24"/>
        </w:rPr>
        <w:t>International Journal of Information Management, 34</w:t>
      </w:r>
      <w:r w:rsidRPr="00A27BFB">
        <w:rPr>
          <w:rFonts w:ascii="Times New Roman" w:hAnsi="Times New Roman" w:cs="Times New Roman"/>
          <w:sz w:val="24"/>
          <w:szCs w:val="24"/>
        </w:rPr>
        <w:t>(1), 1-13. doi:</w:t>
      </w:r>
      <w:hyperlink r:id="rId18" w:history="1">
        <w:r w:rsidRPr="00A27BFB">
          <w:rPr>
            <w:rStyle w:val="Hyperlink"/>
            <w:rFonts w:ascii="Times New Roman" w:hAnsi="Times New Roman" w:cs="Times New Roman"/>
            <w:sz w:val="24"/>
            <w:szCs w:val="24"/>
          </w:rPr>
          <w:t>https://doi.org/10.1016/j.ijinfomgt.2013.06.002</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Mitzner, T. L., Boron, J. B., Fausset, C. B., Adams, A. E., Charness, N., Czaja, S. J., . . . Sharit, J. (2010). Older adults talk technology: Technology usage and attitudes. </w:t>
      </w:r>
      <w:r w:rsidRPr="00A27BFB">
        <w:rPr>
          <w:rFonts w:ascii="Times New Roman" w:hAnsi="Times New Roman" w:cs="Times New Roman"/>
          <w:i/>
          <w:sz w:val="24"/>
          <w:szCs w:val="24"/>
        </w:rPr>
        <w:t>Computers in Human Behavior, 26</w:t>
      </w:r>
      <w:r w:rsidRPr="00A27BFB">
        <w:rPr>
          <w:rFonts w:ascii="Times New Roman" w:hAnsi="Times New Roman" w:cs="Times New Roman"/>
          <w:sz w:val="24"/>
          <w:szCs w:val="24"/>
        </w:rPr>
        <w:t>(6), 1710-1721. doi:</w:t>
      </w:r>
      <w:hyperlink r:id="rId19" w:history="1">
        <w:r w:rsidRPr="00A27BFB">
          <w:rPr>
            <w:rStyle w:val="Hyperlink"/>
            <w:rFonts w:ascii="Times New Roman" w:hAnsi="Times New Roman" w:cs="Times New Roman"/>
            <w:sz w:val="24"/>
            <w:szCs w:val="24"/>
          </w:rPr>
          <w:t>https://doi.org/10.1016/j.chb.2010.06.020</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Moudud-Ul-Huq, S., Sultana Swarna, R., &amp; Sultana, M. (2021). Elderly and middle-aged intention to use m-health services: an empirical evidence from a developing country. </w:t>
      </w:r>
      <w:r w:rsidRPr="00A27BFB">
        <w:rPr>
          <w:rFonts w:ascii="Times New Roman" w:hAnsi="Times New Roman" w:cs="Times New Roman"/>
          <w:i/>
          <w:sz w:val="24"/>
          <w:szCs w:val="24"/>
        </w:rPr>
        <w:t>Journal of Enabling Technologies, 15</w:t>
      </w:r>
      <w:r w:rsidRPr="00A27BFB">
        <w:rPr>
          <w:rFonts w:ascii="Times New Roman" w:hAnsi="Times New Roman" w:cs="Times New Roman"/>
          <w:sz w:val="24"/>
          <w:szCs w:val="24"/>
        </w:rPr>
        <w:t>(1), 23-39. doi:10.1108/JET-04-2020-0018</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Partala, T., &amp; Saari, T. (2015). Understanding the most influential user experiences in successful and unsuccessful technology adoptions. </w:t>
      </w:r>
      <w:r w:rsidRPr="00A27BFB">
        <w:rPr>
          <w:rFonts w:ascii="Times New Roman" w:hAnsi="Times New Roman" w:cs="Times New Roman"/>
          <w:i/>
          <w:sz w:val="24"/>
          <w:szCs w:val="24"/>
        </w:rPr>
        <w:t>Computers in Human Behavior, 53</w:t>
      </w:r>
      <w:r w:rsidRPr="00A27BFB">
        <w:rPr>
          <w:rFonts w:ascii="Times New Roman" w:hAnsi="Times New Roman" w:cs="Times New Roman"/>
          <w:sz w:val="24"/>
          <w:szCs w:val="24"/>
        </w:rPr>
        <w:t>, 381-395. doi:</w:t>
      </w:r>
      <w:hyperlink r:id="rId20" w:history="1">
        <w:r w:rsidRPr="00A27BFB">
          <w:rPr>
            <w:rStyle w:val="Hyperlink"/>
            <w:rFonts w:ascii="Times New Roman" w:hAnsi="Times New Roman" w:cs="Times New Roman"/>
            <w:sz w:val="24"/>
            <w:szCs w:val="24"/>
          </w:rPr>
          <w:t>https://doi.org/10.1016/j.chb.2015.07.012</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Pavlou, P. A. (2011). State of the Information Privacy Literature: Where are We Now And Where Should We Go? </w:t>
      </w:r>
      <w:r w:rsidRPr="00A27BFB">
        <w:rPr>
          <w:rFonts w:ascii="Times New Roman" w:hAnsi="Times New Roman" w:cs="Times New Roman"/>
          <w:i/>
          <w:sz w:val="24"/>
          <w:szCs w:val="24"/>
        </w:rPr>
        <w:t>MIS Quarterly, 35</w:t>
      </w:r>
      <w:r w:rsidRPr="00A27BFB">
        <w:rPr>
          <w:rFonts w:ascii="Times New Roman" w:hAnsi="Times New Roman" w:cs="Times New Roman"/>
          <w:sz w:val="24"/>
          <w:szCs w:val="24"/>
        </w:rPr>
        <w:t>(4), 977-988. doi:10.2307/41409969</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Roszkowska, P. (2021). Fintech in financial reporting and audit for fraud prevention and safeguarding equity investments. </w:t>
      </w:r>
      <w:r w:rsidRPr="00A27BFB">
        <w:rPr>
          <w:rFonts w:ascii="Times New Roman" w:hAnsi="Times New Roman" w:cs="Times New Roman"/>
          <w:i/>
          <w:sz w:val="24"/>
          <w:szCs w:val="24"/>
        </w:rPr>
        <w:t>Journal of Accounting &amp; Organizational Change, 17</w:t>
      </w:r>
      <w:r w:rsidRPr="00A27BFB">
        <w:rPr>
          <w:rFonts w:ascii="Times New Roman" w:hAnsi="Times New Roman" w:cs="Times New Roman"/>
          <w:sz w:val="24"/>
          <w:szCs w:val="24"/>
        </w:rPr>
        <w:t>(2), 164-196. doi:10.1108/JAOC-09-2019-0098</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Sasikala, S., Indhira, K., &amp; Chandrasekaran, V. M. (2018). Performance prediction of interactive telemedicine. </w:t>
      </w:r>
      <w:r w:rsidRPr="00A27BFB">
        <w:rPr>
          <w:rFonts w:ascii="Times New Roman" w:hAnsi="Times New Roman" w:cs="Times New Roman"/>
          <w:i/>
          <w:sz w:val="24"/>
          <w:szCs w:val="24"/>
        </w:rPr>
        <w:t>Informatics in Medicine Unlocked, 11</w:t>
      </w:r>
      <w:r w:rsidRPr="00A27BFB">
        <w:rPr>
          <w:rFonts w:ascii="Times New Roman" w:hAnsi="Times New Roman" w:cs="Times New Roman"/>
          <w:sz w:val="24"/>
          <w:szCs w:val="24"/>
        </w:rPr>
        <w:t>, 87-94. doi:</w:t>
      </w:r>
      <w:hyperlink r:id="rId21" w:history="1">
        <w:r w:rsidRPr="00A27BFB">
          <w:rPr>
            <w:rStyle w:val="Hyperlink"/>
            <w:rFonts w:ascii="Times New Roman" w:hAnsi="Times New Roman" w:cs="Times New Roman"/>
            <w:sz w:val="24"/>
            <w:szCs w:val="24"/>
          </w:rPr>
          <w:t>https://doi.org/10.1016/j.imu.2018.03.003</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Sun, J., &amp; Chi, T. (2018). Key factors influencing the adoption of apparel mobile commerce: an empirical study of Chinese consumers. </w:t>
      </w:r>
      <w:r w:rsidRPr="00A27BFB">
        <w:rPr>
          <w:rFonts w:ascii="Times New Roman" w:hAnsi="Times New Roman" w:cs="Times New Roman"/>
          <w:i/>
          <w:sz w:val="24"/>
          <w:szCs w:val="24"/>
        </w:rPr>
        <w:t>The Journal of The Textile Institute, 109</w:t>
      </w:r>
      <w:r w:rsidRPr="00A27BFB">
        <w:rPr>
          <w:rFonts w:ascii="Times New Roman" w:hAnsi="Times New Roman" w:cs="Times New Roman"/>
          <w:sz w:val="24"/>
          <w:szCs w:val="24"/>
        </w:rPr>
        <w:t>(6), 785-797. doi:10.1080/00405000.2017.1371828</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Suryono, R. R., Budi, I., &amp; Purwandari, B. (2020). Challenges and Trends of Financial Technology (Fintech): A Systematic Literature Review. </w:t>
      </w:r>
      <w:r w:rsidRPr="00A27BFB">
        <w:rPr>
          <w:rFonts w:ascii="Times New Roman" w:hAnsi="Times New Roman" w:cs="Times New Roman"/>
          <w:i/>
          <w:sz w:val="24"/>
          <w:szCs w:val="24"/>
        </w:rPr>
        <w:t>Information, 11</w:t>
      </w:r>
      <w:r w:rsidRPr="00A27BFB">
        <w:rPr>
          <w:rFonts w:ascii="Times New Roman" w:hAnsi="Times New Roman" w:cs="Times New Roman"/>
          <w:sz w:val="24"/>
          <w:szCs w:val="24"/>
        </w:rPr>
        <w:t>(12). doi:10.3390/info11120590</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Taherdoost, H. (2018). Development of an adoption model to assess user acceptance of e-service technology: E-Service Technology Acceptance Model. </w:t>
      </w:r>
      <w:r w:rsidRPr="00A27BFB">
        <w:rPr>
          <w:rFonts w:ascii="Times New Roman" w:hAnsi="Times New Roman" w:cs="Times New Roman"/>
          <w:i/>
          <w:sz w:val="24"/>
          <w:szCs w:val="24"/>
        </w:rPr>
        <w:t>Behaviour &amp; Information Technology, 37</w:t>
      </w:r>
      <w:r w:rsidRPr="00A27BFB">
        <w:rPr>
          <w:rFonts w:ascii="Times New Roman" w:hAnsi="Times New Roman" w:cs="Times New Roman"/>
          <w:sz w:val="24"/>
          <w:szCs w:val="24"/>
        </w:rPr>
        <w:t>(2), 173-197. doi:10.1080/0144929X.2018.1427793</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Thong, J. Y. L., Hong, S.-J., &amp; Tam, K. Y. (2006). The effects of post-adoption beliefs on the expectation-confirmation model for information technology continuance. </w:t>
      </w:r>
      <w:r w:rsidRPr="00A27BFB">
        <w:rPr>
          <w:rFonts w:ascii="Times New Roman" w:hAnsi="Times New Roman" w:cs="Times New Roman"/>
          <w:i/>
          <w:sz w:val="24"/>
          <w:szCs w:val="24"/>
        </w:rPr>
        <w:t>International Journal of Human-Computer Studies, 64</w:t>
      </w:r>
      <w:r w:rsidRPr="00A27BFB">
        <w:rPr>
          <w:rFonts w:ascii="Times New Roman" w:hAnsi="Times New Roman" w:cs="Times New Roman"/>
          <w:sz w:val="24"/>
          <w:szCs w:val="24"/>
        </w:rPr>
        <w:t>(9), 799-810. doi:</w:t>
      </w:r>
      <w:hyperlink r:id="rId22" w:history="1">
        <w:r w:rsidRPr="00A27BFB">
          <w:rPr>
            <w:rStyle w:val="Hyperlink"/>
            <w:rFonts w:ascii="Times New Roman" w:hAnsi="Times New Roman" w:cs="Times New Roman"/>
            <w:sz w:val="24"/>
            <w:szCs w:val="24"/>
          </w:rPr>
          <w:t>https://doi.org/10.1016/j.ijhcs.2006.05.001</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Venkatesh, V., &amp; Davis, F. D. (1996). A Model of the Antecedents of Perceived Ease of Use: Development and Test. </w:t>
      </w:r>
      <w:r w:rsidRPr="00A27BFB">
        <w:rPr>
          <w:rFonts w:ascii="Times New Roman" w:hAnsi="Times New Roman" w:cs="Times New Roman"/>
          <w:i/>
          <w:sz w:val="24"/>
          <w:szCs w:val="24"/>
        </w:rPr>
        <w:t>Decision Sciences, 27</w:t>
      </w:r>
      <w:r w:rsidRPr="00A27BFB">
        <w:rPr>
          <w:rFonts w:ascii="Times New Roman" w:hAnsi="Times New Roman" w:cs="Times New Roman"/>
          <w:sz w:val="24"/>
          <w:szCs w:val="24"/>
        </w:rPr>
        <w:t>(3), 451-481. doi:</w:t>
      </w:r>
      <w:hyperlink r:id="rId23" w:history="1">
        <w:r w:rsidRPr="00A27BFB">
          <w:rPr>
            <w:rStyle w:val="Hyperlink"/>
            <w:rFonts w:ascii="Times New Roman" w:hAnsi="Times New Roman" w:cs="Times New Roman"/>
            <w:sz w:val="24"/>
            <w:szCs w:val="24"/>
          </w:rPr>
          <w:t>https://doi.org/10.1111/j.1540-5915.1996.tb00860.x</w:t>
        </w:r>
      </w:hyperlink>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Wang, K., &amp; Lin, C. L. (2012). The adoption of mobile value‐added services. </w:t>
      </w:r>
      <w:r w:rsidRPr="00A27BFB">
        <w:rPr>
          <w:rFonts w:ascii="Times New Roman" w:hAnsi="Times New Roman" w:cs="Times New Roman"/>
          <w:i/>
          <w:sz w:val="24"/>
          <w:szCs w:val="24"/>
        </w:rPr>
        <w:t>Managing Service Quality: An International Journal, 22</w:t>
      </w:r>
      <w:r w:rsidRPr="00A27BFB">
        <w:rPr>
          <w:rFonts w:ascii="Times New Roman" w:hAnsi="Times New Roman" w:cs="Times New Roman"/>
          <w:sz w:val="24"/>
          <w:szCs w:val="24"/>
        </w:rPr>
        <w:t>(2), 184-208. doi:10.1108/09604521211219007</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Yadegaridehkordi, E., Shuib, L., Nilashi, M., &amp; Asadi, S. (2019). Decision to adopt online collaborative learning tools in higher education: A case of top Malaysian universities. </w:t>
      </w:r>
      <w:r w:rsidRPr="00A27BFB">
        <w:rPr>
          <w:rFonts w:ascii="Times New Roman" w:hAnsi="Times New Roman" w:cs="Times New Roman"/>
          <w:i/>
          <w:sz w:val="24"/>
          <w:szCs w:val="24"/>
        </w:rPr>
        <w:t>Education and Information Technologies, 24</w:t>
      </w:r>
      <w:r w:rsidRPr="00A27BFB">
        <w:rPr>
          <w:rFonts w:ascii="Times New Roman" w:hAnsi="Times New Roman" w:cs="Times New Roman"/>
          <w:sz w:val="24"/>
          <w:szCs w:val="24"/>
        </w:rPr>
        <w:t>(1), 79-102. doi:10.1007/s10639-018-9761-z</w:t>
      </w:r>
    </w:p>
    <w:p w:rsidR="00906036" w:rsidRPr="00A27BFB" w:rsidRDefault="00906036" w:rsidP="00906036">
      <w:pPr>
        <w:pStyle w:val="EndNoteBibliography"/>
        <w:spacing w:after="0"/>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Yudaruddin, R. (2023). Bank lending during the COVID-19 pandemic: do alliances and digital strategies matter? </w:t>
      </w:r>
      <w:r w:rsidRPr="00A27BFB">
        <w:rPr>
          <w:rFonts w:ascii="Times New Roman" w:hAnsi="Times New Roman" w:cs="Times New Roman"/>
          <w:i/>
          <w:sz w:val="24"/>
          <w:szCs w:val="24"/>
        </w:rPr>
        <w:t>Managerial Finance, 49</w:t>
      </w:r>
      <w:r w:rsidRPr="00A27BFB">
        <w:rPr>
          <w:rFonts w:ascii="Times New Roman" w:hAnsi="Times New Roman" w:cs="Times New Roman"/>
          <w:sz w:val="24"/>
          <w:szCs w:val="24"/>
        </w:rPr>
        <w:t>(7), 1221-1238. doi:10.1108/MF-04-2022-0167</w:t>
      </w:r>
    </w:p>
    <w:p w:rsidR="00906036" w:rsidRPr="00A27BFB" w:rsidRDefault="00906036" w:rsidP="00906036">
      <w:pPr>
        <w:pStyle w:val="EndNoteBibliography"/>
        <w:ind w:left="720" w:hanging="720"/>
        <w:rPr>
          <w:rFonts w:ascii="Times New Roman" w:hAnsi="Times New Roman" w:cs="Times New Roman"/>
          <w:sz w:val="24"/>
          <w:szCs w:val="24"/>
        </w:rPr>
      </w:pPr>
      <w:r w:rsidRPr="00A27BFB">
        <w:rPr>
          <w:rFonts w:ascii="Times New Roman" w:hAnsi="Times New Roman" w:cs="Times New Roman"/>
          <w:sz w:val="24"/>
          <w:szCs w:val="24"/>
        </w:rPr>
        <w:t xml:space="preserve">Yuen, K. F., Chua, J., Li, K. X., &amp; Wang, X. (2022). Consumer's adoption of virtual reality technologies for marine conservation: Motivational and technology acceptance perspectives. </w:t>
      </w:r>
      <w:r w:rsidRPr="00A27BFB">
        <w:rPr>
          <w:rFonts w:ascii="Times New Roman" w:hAnsi="Times New Roman" w:cs="Times New Roman"/>
          <w:i/>
          <w:sz w:val="24"/>
          <w:szCs w:val="24"/>
        </w:rPr>
        <w:t>Technological Forecasting and Social Change, 182</w:t>
      </w:r>
      <w:r w:rsidRPr="00A27BFB">
        <w:rPr>
          <w:rFonts w:ascii="Times New Roman" w:hAnsi="Times New Roman" w:cs="Times New Roman"/>
          <w:sz w:val="24"/>
          <w:szCs w:val="24"/>
        </w:rPr>
        <w:t>, 121891. doi:</w:t>
      </w:r>
      <w:hyperlink r:id="rId24" w:history="1">
        <w:r w:rsidRPr="00A27BFB">
          <w:rPr>
            <w:rStyle w:val="Hyperlink"/>
            <w:rFonts w:ascii="Times New Roman" w:hAnsi="Times New Roman" w:cs="Times New Roman"/>
            <w:sz w:val="24"/>
            <w:szCs w:val="24"/>
          </w:rPr>
          <w:t>https://doi.org/10.1016/j.techfore.2022.121891</w:t>
        </w:r>
      </w:hyperlink>
    </w:p>
    <w:p w:rsidR="00ED0815" w:rsidRDefault="001D0A37" w:rsidP="00595485">
      <w:pPr>
        <w:pStyle w:val="ListParagraph"/>
        <w:spacing w:after="0" w:line="240" w:lineRule="auto"/>
        <w:rPr>
          <w:rFonts w:ascii="Times New Roman" w:eastAsia="Times New Roman" w:hAnsi="Times New Roman" w:cs="Times New Roman"/>
          <w:sz w:val="24"/>
          <w:szCs w:val="24"/>
          <w:lang w:val="en-US"/>
        </w:rPr>
      </w:pPr>
      <w:r w:rsidRPr="00A27BFB">
        <w:rPr>
          <w:rFonts w:ascii="Times New Roman" w:eastAsia="Times New Roman" w:hAnsi="Times New Roman" w:cs="Times New Roman"/>
          <w:sz w:val="24"/>
          <w:szCs w:val="24"/>
          <w:lang w:val="en-US"/>
        </w:rPr>
        <w:fldChar w:fldCharType="end"/>
      </w: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Default="00882C01" w:rsidP="00595485">
      <w:pPr>
        <w:pStyle w:val="ListParagraph"/>
        <w:spacing w:after="0" w:line="240" w:lineRule="auto"/>
        <w:rPr>
          <w:rFonts w:ascii="Times New Roman" w:eastAsia="Times New Roman" w:hAnsi="Times New Roman" w:cs="Times New Roman"/>
          <w:sz w:val="24"/>
          <w:szCs w:val="24"/>
          <w:lang w:val="en-US"/>
        </w:rPr>
      </w:pPr>
    </w:p>
    <w:p w:rsidR="00882C01" w:rsidRPr="00A27BFB" w:rsidRDefault="00882C01" w:rsidP="00595485">
      <w:pPr>
        <w:pStyle w:val="ListParagraph"/>
        <w:spacing w:after="0" w:line="240" w:lineRule="auto"/>
        <w:rPr>
          <w:rFonts w:ascii="Times New Roman" w:eastAsia="Times New Roman" w:hAnsi="Times New Roman" w:cs="Times New Roman"/>
          <w:sz w:val="24"/>
          <w:szCs w:val="24"/>
          <w:lang w:val="en-US"/>
        </w:rPr>
      </w:pPr>
    </w:p>
    <w:sectPr w:rsidR="00882C01" w:rsidRPr="00A27B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230AD"/>
    <w:multiLevelType w:val="multilevel"/>
    <w:tmpl w:val="21E0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E940BB"/>
    <w:multiLevelType w:val="multilevel"/>
    <w:tmpl w:val="32B8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7A19E0"/>
    <w:multiLevelType w:val="multilevel"/>
    <w:tmpl w:val="ABB6E6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FD1D77"/>
    <w:multiLevelType w:val="hybridMultilevel"/>
    <w:tmpl w:val="2F6CA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41C16"/>
    <w:multiLevelType w:val="multilevel"/>
    <w:tmpl w:val="7F9C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5E7201"/>
    <w:multiLevelType w:val="multilevel"/>
    <w:tmpl w:val="DA2E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815F66"/>
    <w:multiLevelType w:val="multilevel"/>
    <w:tmpl w:val="1584C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6A49FD"/>
    <w:multiLevelType w:val="multilevel"/>
    <w:tmpl w:val="677C6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696A25"/>
    <w:multiLevelType w:val="multilevel"/>
    <w:tmpl w:val="90C0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FA540B"/>
    <w:multiLevelType w:val="multilevel"/>
    <w:tmpl w:val="DE26E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1F2FDF"/>
    <w:multiLevelType w:val="multilevel"/>
    <w:tmpl w:val="681A0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83468F"/>
    <w:multiLevelType w:val="hybridMultilevel"/>
    <w:tmpl w:val="47CCE7B6"/>
    <w:lvl w:ilvl="0" w:tplc="0409000F">
      <w:start w:val="1"/>
      <w:numFmt w:val="decimal"/>
      <w:lvlText w:val="%1."/>
      <w:lvlJc w:val="left"/>
      <w:pPr>
        <w:ind w:left="720" w:hanging="360"/>
      </w:pPr>
    </w:lvl>
    <w:lvl w:ilvl="1" w:tplc="E772B81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6D0331"/>
    <w:multiLevelType w:val="multilevel"/>
    <w:tmpl w:val="38B4A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812037"/>
    <w:multiLevelType w:val="multilevel"/>
    <w:tmpl w:val="4A40D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BA0FB1"/>
    <w:multiLevelType w:val="multilevel"/>
    <w:tmpl w:val="53848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F82B41"/>
    <w:multiLevelType w:val="hybridMultilevel"/>
    <w:tmpl w:val="4A0067A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C14CC8"/>
    <w:multiLevelType w:val="multilevel"/>
    <w:tmpl w:val="ACC48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2"/>
  </w:num>
  <w:num w:numId="3">
    <w:abstractNumId w:val="1"/>
  </w:num>
  <w:num w:numId="4">
    <w:abstractNumId w:val="6"/>
  </w:num>
  <w:num w:numId="5">
    <w:abstractNumId w:val="4"/>
  </w:num>
  <w:num w:numId="6">
    <w:abstractNumId w:val="0"/>
  </w:num>
  <w:num w:numId="7">
    <w:abstractNumId w:val="8"/>
  </w:num>
  <w:num w:numId="8">
    <w:abstractNumId w:val="7"/>
  </w:num>
  <w:num w:numId="9">
    <w:abstractNumId w:val="14"/>
  </w:num>
  <w:num w:numId="10">
    <w:abstractNumId w:val="5"/>
  </w:num>
  <w:num w:numId="11">
    <w:abstractNumId w:val="10"/>
  </w:num>
  <w:num w:numId="12">
    <w:abstractNumId w:val="16"/>
  </w:num>
  <w:num w:numId="13">
    <w:abstractNumId w:val="9"/>
  </w:num>
  <w:num w:numId="14">
    <w:abstractNumId w:val="2"/>
  </w:num>
  <w:num w:numId="15">
    <w:abstractNumId w:val="11"/>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rsvzpeof2293e9sebptwz9ezdwezd52ax5&quot;&gt;My EndNote Library-Converted&lt;record-ids&gt;&lt;item&gt;887&lt;/item&gt;&lt;item&gt;889&lt;/item&gt;&lt;item&gt;890&lt;/item&gt;&lt;item&gt;891&lt;/item&gt;&lt;item&gt;892&lt;/item&gt;&lt;item&gt;893&lt;/item&gt;&lt;item&gt;894&lt;/item&gt;&lt;item&gt;896&lt;/item&gt;&lt;item&gt;897&lt;/item&gt;&lt;item&gt;898&lt;/item&gt;&lt;item&gt;899&lt;/item&gt;&lt;item&gt;900&lt;/item&gt;&lt;item&gt;901&lt;/item&gt;&lt;item&gt;902&lt;/item&gt;&lt;item&gt;903&lt;/item&gt;&lt;item&gt;904&lt;/item&gt;&lt;item&gt;905&lt;/item&gt;&lt;item&gt;906&lt;/item&gt;&lt;item&gt;907&lt;/item&gt;&lt;item&gt;908&lt;/item&gt;&lt;item&gt;909&lt;/item&gt;&lt;item&gt;910&lt;/item&gt;&lt;item&gt;911&lt;/item&gt;&lt;item&gt;912&lt;/item&gt;&lt;item&gt;913&lt;/item&gt;&lt;item&gt;914&lt;/item&gt;&lt;item&gt;915&lt;/item&gt;&lt;item&gt;916&lt;/item&gt;&lt;item&gt;917&lt;/item&gt;&lt;item&gt;918&lt;/item&gt;&lt;item&gt;919&lt;/item&gt;&lt;item&gt;920&lt;/item&gt;&lt;item&gt;921&lt;/item&gt;&lt;item&gt;922&lt;/item&gt;&lt;item&gt;923&lt;/item&gt;&lt;item&gt;925&lt;/item&gt;&lt;item&gt;926&lt;/item&gt;&lt;item&gt;927&lt;/item&gt;&lt;item&gt;928&lt;/item&gt;&lt;item&gt;929&lt;/item&gt;&lt;item&gt;930&lt;/item&gt;&lt;item&gt;931&lt;/item&gt;&lt;item&gt;932&lt;/item&gt;&lt;item&gt;933&lt;/item&gt;&lt;item&gt;934&lt;/item&gt;&lt;item&gt;935&lt;/item&gt;&lt;item&gt;936&lt;/item&gt;&lt;item&gt;937&lt;/item&gt;&lt;/record-ids&gt;&lt;/item&gt;&lt;/Libraries&gt;"/>
  </w:docVars>
  <w:rsids>
    <w:rsidRoot w:val="00483BC3"/>
    <w:rsid w:val="00000E4C"/>
    <w:rsid w:val="0001112B"/>
    <w:rsid w:val="00012355"/>
    <w:rsid w:val="00017CEC"/>
    <w:rsid w:val="00026A20"/>
    <w:rsid w:val="0003702F"/>
    <w:rsid w:val="0004002D"/>
    <w:rsid w:val="000509E5"/>
    <w:rsid w:val="00072F67"/>
    <w:rsid w:val="000C3867"/>
    <w:rsid w:val="000E0CCE"/>
    <w:rsid w:val="000E15DD"/>
    <w:rsid w:val="000E7CF4"/>
    <w:rsid w:val="00140369"/>
    <w:rsid w:val="0015757E"/>
    <w:rsid w:val="00172AD9"/>
    <w:rsid w:val="001A053C"/>
    <w:rsid w:val="001A734F"/>
    <w:rsid w:val="001D0A37"/>
    <w:rsid w:val="001E3B38"/>
    <w:rsid w:val="001E4526"/>
    <w:rsid w:val="001F24F4"/>
    <w:rsid w:val="002033AD"/>
    <w:rsid w:val="002036FD"/>
    <w:rsid w:val="002A7214"/>
    <w:rsid w:val="002D3190"/>
    <w:rsid w:val="002E0CBC"/>
    <w:rsid w:val="002F7362"/>
    <w:rsid w:val="003265F2"/>
    <w:rsid w:val="00381E06"/>
    <w:rsid w:val="00397994"/>
    <w:rsid w:val="003A252E"/>
    <w:rsid w:val="003D2E21"/>
    <w:rsid w:val="00451C50"/>
    <w:rsid w:val="004541C0"/>
    <w:rsid w:val="004573B7"/>
    <w:rsid w:val="004637C6"/>
    <w:rsid w:val="004649E1"/>
    <w:rsid w:val="0046653D"/>
    <w:rsid w:val="00483BC3"/>
    <w:rsid w:val="0049185D"/>
    <w:rsid w:val="004B523A"/>
    <w:rsid w:val="004F0268"/>
    <w:rsid w:val="004F4522"/>
    <w:rsid w:val="004F6518"/>
    <w:rsid w:val="004F6AED"/>
    <w:rsid w:val="0053167B"/>
    <w:rsid w:val="005400A5"/>
    <w:rsid w:val="0054147D"/>
    <w:rsid w:val="00595485"/>
    <w:rsid w:val="005B4B05"/>
    <w:rsid w:val="005D5356"/>
    <w:rsid w:val="005D6E88"/>
    <w:rsid w:val="005F1D99"/>
    <w:rsid w:val="005F63B8"/>
    <w:rsid w:val="00610F15"/>
    <w:rsid w:val="00617C74"/>
    <w:rsid w:val="006326C9"/>
    <w:rsid w:val="00632E5D"/>
    <w:rsid w:val="00635094"/>
    <w:rsid w:val="00643F61"/>
    <w:rsid w:val="00696B8A"/>
    <w:rsid w:val="006B04A7"/>
    <w:rsid w:val="006D68B1"/>
    <w:rsid w:val="006E11BE"/>
    <w:rsid w:val="0070230C"/>
    <w:rsid w:val="00713219"/>
    <w:rsid w:val="00723298"/>
    <w:rsid w:val="00724894"/>
    <w:rsid w:val="00724996"/>
    <w:rsid w:val="00733AB7"/>
    <w:rsid w:val="00770310"/>
    <w:rsid w:val="007C5019"/>
    <w:rsid w:val="00816C58"/>
    <w:rsid w:val="0082667C"/>
    <w:rsid w:val="008755B9"/>
    <w:rsid w:val="00882C01"/>
    <w:rsid w:val="008971BC"/>
    <w:rsid w:val="008F5CFE"/>
    <w:rsid w:val="00906036"/>
    <w:rsid w:val="00912EB0"/>
    <w:rsid w:val="009303A4"/>
    <w:rsid w:val="00952D2C"/>
    <w:rsid w:val="00967F2A"/>
    <w:rsid w:val="009924EE"/>
    <w:rsid w:val="009B17B5"/>
    <w:rsid w:val="009B751B"/>
    <w:rsid w:val="009C697E"/>
    <w:rsid w:val="009D72EB"/>
    <w:rsid w:val="009E4300"/>
    <w:rsid w:val="00A00E19"/>
    <w:rsid w:val="00A27BFB"/>
    <w:rsid w:val="00A7044E"/>
    <w:rsid w:val="00A77ACD"/>
    <w:rsid w:val="00A91330"/>
    <w:rsid w:val="00A95089"/>
    <w:rsid w:val="00AB4A80"/>
    <w:rsid w:val="00AB4D5E"/>
    <w:rsid w:val="00AC2F5A"/>
    <w:rsid w:val="00B036EF"/>
    <w:rsid w:val="00B5602B"/>
    <w:rsid w:val="00B57B8C"/>
    <w:rsid w:val="00B73308"/>
    <w:rsid w:val="00B7478B"/>
    <w:rsid w:val="00B77237"/>
    <w:rsid w:val="00BA6CE2"/>
    <w:rsid w:val="00BD02B7"/>
    <w:rsid w:val="00C06193"/>
    <w:rsid w:val="00C46A30"/>
    <w:rsid w:val="00C94F4B"/>
    <w:rsid w:val="00CC2B29"/>
    <w:rsid w:val="00CC7827"/>
    <w:rsid w:val="00CE304F"/>
    <w:rsid w:val="00CF330C"/>
    <w:rsid w:val="00CF73A5"/>
    <w:rsid w:val="00D16D0F"/>
    <w:rsid w:val="00D2103F"/>
    <w:rsid w:val="00D54AC4"/>
    <w:rsid w:val="00D70E82"/>
    <w:rsid w:val="00D92C40"/>
    <w:rsid w:val="00D95EE6"/>
    <w:rsid w:val="00D96384"/>
    <w:rsid w:val="00DB3A78"/>
    <w:rsid w:val="00DC49B5"/>
    <w:rsid w:val="00DD3794"/>
    <w:rsid w:val="00DF7793"/>
    <w:rsid w:val="00E26B27"/>
    <w:rsid w:val="00E46C69"/>
    <w:rsid w:val="00E763F3"/>
    <w:rsid w:val="00ED0815"/>
    <w:rsid w:val="00EF0BD8"/>
    <w:rsid w:val="00F22666"/>
    <w:rsid w:val="00F263A6"/>
    <w:rsid w:val="00F413B9"/>
    <w:rsid w:val="00F445B4"/>
    <w:rsid w:val="00F82F00"/>
    <w:rsid w:val="00F86A6B"/>
    <w:rsid w:val="00F96FC1"/>
    <w:rsid w:val="00FC5F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1631F-4530-4262-B5EE-7D1E3C74E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AC4"/>
  </w:style>
  <w:style w:type="paragraph" w:styleId="Heading3">
    <w:name w:val="heading 3"/>
    <w:basedOn w:val="Normal"/>
    <w:link w:val="Heading3Char"/>
    <w:uiPriority w:val="9"/>
    <w:qFormat/>
    <w:rsid w:val="009E4300"/>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A7044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430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E4300"/>
    <w:rPr>
      <w:b/>
      <w:bCs/>
    </w:rPr>
  </w:style>
  <w:style w:type="character" w:customStyle="1" w:styleId="Heading3Char">
    <w:name w:val="Heading 3 Char"/>
    <w:basedOn w:val="DefaultParagraphFont"/>
    <w:link w:val="Heading3"/>
    <w:uiPriority w:val="9"/>
    <w:rsid w:val="009E4300"/>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semiHidden/>
    <w:rsid w:val="00A7044E"/>
    <w:rPr>
      <w:rFonts w:asciiTheme="majorHAnsi" w:eastAsiaTheme="majorEastAsia" w:hAnsiTheme="majorHAnsi" w:cstheme="majorBidi"/>
      <w:i/>
      <w:iCs/>
      <w:color w:val="2E74B5" w:themeColor="accent1" w:themeShade="BF"/>
    </w:rPr>
  </w:style>
  <w:style w:type="paragraph" w:styleId="Caption">
    <w:name w:val="caption"/>
    <w:basedOn w:val="Normal"/>
    <w:next w:val="Normal"/>
    <w:uiPriority w:val="35"/>
    <w:unhideWhenUsed/>
    <w:qFormat/>
    <w:rsid w:val="00397994"/>
    <w:pPr>
      <w:spacing w:after="200" w:line="240" w:lineRule="auto"/>
    </w:pPr>
    <w:rPr>
      <w:rFonts w:ascii="Calibri" w:eastAsia="Calibri" w:hAnsi="Calibri" w:cs="Times New Roman"/>
      <w:i/>
      <w:iCs/>
      <w:color w:val="44546A"/>
      <w:sz w:val="18"/>
      <w:szCs w:val="18"/>
    </w:rPr>
  </w:style>
  <w:style w:type="table" w:customStyle="1" w:styleId="TableGrid1">
    <w:name w:val="Table Grid1"/>
    <w:basedOn w:val="TableNormal"/>
    <w:next w:val="TableGrid"/>
    <w:uiPriority w:val="39"/>
    <w:rsid w:val="0071321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0">
    <w:name w:val="Table 0"/>
    <w:basedOn w:val="Normal"/>
    <w:link w:val="Table0Char"/>
    <w:qFormat/>
    <w:rsid w:val="00713219"/>
    <w:pPr>
      <w:spacing w:before="40" w:after="40" w:line="240" w:lineRule="auto"/>
      <w:contextualSpacing/>
    </w:pPr>
    <w:rPr>
      <w:lang w:val="en-AU"/>
    </w:rPr>
  </w:style>
  <w:style w:type="character" w:customStyle="1" w:styleId="Table0Char">
    <w:name w:val="Table 0 Char"/>
    <w:basedOn w:val="DefaultParagraphFont"/>
    <w:link w:val="Table0"/>
    <w:rsid w:val="00713219"/>
    <w:rPr>
      <w:lang w:val="en-AU"/>
    </w:rPr>
  </w:style>
  <w:style w:type="table" w:styleId="TableGrid">
    <w:name w:val="Table Grid"/>
    <w:basedOn w:val="TableNormal"/>
    <w:uiPriority w:val="39"/>
    <w:rsid w:val="00713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F7362"/>
    <w:rPr>
      <w:i/>
      <w:iCs/>
    </w:rPr>
  </w:style>
  <w:style w:type="paragraph" w:styleId="z-TopofForm">
    <w:name w:val="HTML Top of Form"/>
    <w:basedOn w:val="Normal"/>
    <w:next w:val="Normal"/>
    <w:link w:val="z-TopofFormChar"/>
    <w:hidden/>
    <w:uiPriority w:val="99"/>
    <w:semiHidden/>
    <w:unhideWhenUsed/>
    <w:rsid w:val="00CE304F"/>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CE304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CE304F"/>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CE304F"/>
    <w:rPr>
      <w:rFonts w:ascii="Arial" w:eastAsia="Times New Roman" w:hAnsi="Arial" w:cs="Arial"/>
      <w:vanish/>
      <w:sz w:val="16"/>
      <w:szCs w:val="16"/>
      <w:lang w:val="en-US"/>
    </w:rPr>
  </w:style>
  <w:style w:type="character" w:styleId="Hyperlink">
    <w:name w:val="Hyperlink"/>
    <w:basedOn w:val="DefaultParagraphFont"/>
    <w:uiPriority w:val="99"/>
    <w:unhideWhenUsed/>
    <w:rsid w:val="006326C9"/>
    <w:rPr>
      <w:color w:val="0000FF"/>
      <w:u w:val="single"/>
    </w:rPr>
  </w:style>
  <w:style w:type="paragraph" w:styleId="ListParagraph">
    <w:name w:val="List Paragraph"/>
    <w:basedOn w:val="Normal"/>
    <w:uiPriority w:val="34"/>
    <w:qFormat/>
    <w:rsid w:val="002A7214"/>
    <w:pPr>
      <w:ind w:left="720"/>
      <w:contextualSpacing/>
    </w:pPr>
  </w:style>
  <w:style w:type="paragraph" w:customStyle="1" w:styleId="EndNoteBibliographyTitle">
    <w:name w:val="EndNote Bibliography Title"/>
    <w:basedOn w:val="Normal"/>
    <w:link w:val="EndNoteBibliographyTitleChar"/>
    <w:rsid w:val="001D0A3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D0A37"/>
    <w:rPr>
      <w:rFonts w:ascii="Calibri" w:hAnsi="Calibri" w:cs="Calibri"/>
      <w:noProof/>
      <w:lang w:val="en-US"/>
    </w:rPr>
  </w:style>
  <w:style w:type="paragraph" w:customStyle="1" w:styleId="EndNoteBibliography">
    <w:name w:val="EndNote Bibliography"/>
    <w:basedOn w:val="Normal"/>
    <w:link w:val="EndNoteBibliographyChar"/>
    <w:rsid w:val="001D0A3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D0A3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6364">
      <w:bodyDiv w:val="1"/>
      <w:marLeft w:val="0"/>
      <w:marRight w:val="0"/>
      <w:marTop w:val="0"/>
      <w:marBottom w:val="0"/>
      <w:divBdr>
        <w:top w:val="none" w:sz="0" w:space="0" w:color="auto"/>
        <w:left w:val="none" w:sz="0" w:space="0" w:color="auto"/>
        <w:bottom w:val="none" w:sz="0" w:space="0" w:color="auto"/>
        <w:right w:val="none" w:sz="0" w:space="0" w:color="auto"/>
      </w:divBdr>
    </w:div>
    <w:div w:id="64186629">
      <w:bodyDiv w:val="1"/>
      <w:marLeft w:val="0"/>
      <w:marRight w:val="0"/>
      <w:marTop w:val="0"/>
      <w:marBottom w:val="0"/>
      <w:divBdr>
        <w:top w:val="none" w:sz="0" w:space="0" w:color="auto"/>
        <w:left w:val="none" w:sz="0" w:space="0" w:color="auto"/>
        <w:bottom w:val="none" w:sz="0" w:space="0" w:color="auto"/>
        <w:right w:val="none" w:sz="0" w:space="0" w:color="auto"/>
      </w:divBdr>
    </w:div>
    <w:div w:id="207499403">
      <w:bodyDiv w:val="1"/>
      <w:marLeft w:val="0"/>
      <w:marRight w:val="0"/>
      <w:marTop w:val="0"/>
      <w:marBottom w:val="0"/>
      <w:divBdr>
        <w:top w:val="none" w:sz="0" w:space="0" w:color="auto"/>
        <w:left w:val="none" w:sz="0" w:space="0" w:color="auto"/>
        <w:bottom w:val="none" w:sz="0" w:space="0" w:color="auto"/>
        <w:right w:val="none" w:sz="0" w:space="0" w:color="auto"/>
      </w:divBdr>
    </w:div>
    <w:div w:id="208224394">
      <w:bodyDiv w:val="1"/>
      <w:marLeft w:val="0"/>
      <w:marRight w:val="0"/>
      <w:marTop w:val="0"/>
      <w:marBottom w:val="0"/>
      <w:divBdr>
        <w:top w:val="none" w:sz="0" w:space="0" w:color="auto"/>
        <w:left w:val="none" w:sz="0" w:space="0" w:color="auto"/>
        <w:bottom w:val="none" w:sz="0" w:space="0" w:color="auto"/>
        <w:right w:val="none" w:sz="0" w:space="0" w:color="auto"/>
      </w:divBdr>
    </w:div>
    <w:div w:id="373969555">
      <w:bodyDiv w:val="1"/>
      <w:marLeft w:val="0"/>
      <w:marRight w:val="0"/>
      <w:marTop w:val="0"/>
      <w:marBottom w:val="0"/>
      <w:divBdr>
        <w:top w:val="none" w:sz="0" w:space="0" w:color="auto"/>
        <w:left w:val="none" w:sz="0" w:space="0" w:color="auto"/>
        <w:bottom w:val="none" w:sz="0" w:space="0" w:color="auto"/>
        <w:right w:val="none" w:sz="0" w:space="0" w:color="auto"/>
      </w:divBdr>
    </w:div>
    <w:div w:id="427121172">
      <w:bodyDiv w:val="1"/>
      <w:marLeft w:val="0"/>
      <w:marRight w:val="0"/>
      <w:marTop w:val="0"/>
      <w:marBottom w:val="0"/>
      <w:divBdr>
        <w:top w:val="none" w:sz="0" w:space="0" w:color="auto"/>
        <w:left w:val="none" w:sz="0" w:space="0" w:color="auto"/>
        <w:bottom w:val="none" w:sz="0" w:space="0" w:color="auto"/>
        <w:right w:val="none" w:sz="0" w:space="0" w:color="auto"/>
      </w:divBdr>
    </w:div>
    <w:div w:id="536158000">
      <w:bodyDiv w:val="1"/>
      <w:marLeft w:val="0"/>
      <w:marRight w:val="0"/>
      <w:marTop w:val="0"/>
      <w:marBottom w:val="0"/>
      <w:divBdr>
        <w:top w:val="none" w:sz="0" w:space="0" w:color="auto"/>
        <w:left w:val="none" w:sz="0" w:space="0" w:color="auto"/>
        <w:bottom w:val="none" w:sz="0" w:space="0" w:color="auto"/>
        <w:right w:val="none" w:sz="0" w:space="0" w:color="auto"/>
      </w:divBdr>
    </w:div>
    <w:div w:id="553203989">
      <w:bodyDiv w:val="1"/>
      <w:marLeft w:val="0"/>
      <w:marRight w:val="0"/>
      <w:marTop w:val="0"/>
      <w:marBottom w:val="0"/>
      <w:divBdr>
        <w:top w:val="none" w:sz="0" w:space="0" w:color="auto"/>
        <w:left w:val="none" w:sz="0" w:space="0" w:color="auto"/>
        <w:bottom w:val="none" w:sz="0" w:space="0" w:color="auto"/>
        <w:right w:val="none" w:sz="0" w:space="0" w:color="auto"/>
      </w:divBdr>
    </w:div>
    <w:div w:id="561216110">
      <w:bodyDiv w:val="1"/>
      <w:marLeft w:val="0"/>
      <w:marRight w:val="0"/>
      <w:marTop w:val="0"/>
      <w:marBottom w:val="0"/>
      <w:divBdr>
        <w:top w:val="none" w:sz="0" w:space="0" w:color="auto"/>
        <w:left w:val="none" w:sz="0" w:space="0" w:color="auto"/>
        <w:bottom w:val="none" w:sz="0" w:space="0" w:color="auto"/>
        <w:right w:val="none" w:sz="0" w:space="0" w:color="auto"/>
      </w:divBdr>
    </w:div>
    <w:div w:id="609288974">
      <w:bodyDiv w:val="1"/>
      <w:marLeft w:val="0"/>
      <w:marRight w:val="0"/>
      <w:marTop w:val="0"/>
      <w:marBottom w:val="0"/>
      <w:divBdr>
        <w:top w:val="none" w:sz="0" w:space="0" w:color="auto"/>
        <w:left w:val="none" w:sz="0" w:space="0" w:color="auto"/>
        <w:bottom w:val="none" w:sz="0" w:space="0" w:color="auto"/>
        <w:right w:val="none" w:sz="0" w:space="0" w:color="auto"/>
      </w:divBdr>
    </w:div>
    <w:div w:id="627782490">
      <w:bodyDiv w:val="1"/>
      <w:marLeft w:val="0"/>
      <w:marRight w:val="0"/>
      <w:marTop w:val="0"/>
      <w:marBottom w:val="0"/>
      <w:divBdr>
        <w:top w:val="none" w:sz="0" w:space="0" w:color="auto"/>
        <w:left w:val="none" w:sz="0" w:space="0" w:color="auto"/>
        <w:bottom w:val="none" w:sz="0" w:space="0" w:color="auto"/>
        <w:right w:val="none" w:sz="0" w:space="0" w:color="auto"/>
      </w:divBdr>
    </w:div>
    <w:div w:id="794755729">
      <w:bodyDiv w:val="1"/>
      <w:marLeft w:val="0"/>
      <w:marRight w:val="0"/>
      <w:marTop w:val="0"/>
      <w:marBottom w:val="0"/>
      <w:divBdr>
        <w:top w:val="none" w:sz="0" w:space="0" w:color="auto"/>
        <w:left w:val="none" w:sz="0" w:space="0" w:color="auto"/>
        <w:bottom w:val="none" w:sz="0" w:space="0" w:color="auto"/>
        <w:right w:val="none" w:sz="0" w:space="0" w:color="auto"/>
      </w:divBdr>
    </w:div>
    <w:div w:id="1079524634">
      <w:bodyDiv w:val="1"/>
      <w:marLeft w:val="0"/>
      <w:marRight w:val="0"/>
      <w:marTop w:val="0"/>
      <w:marBottom w:val="0"/>
      <w:divBdr>
        <w:top w:val="none" w:sz="0" w:space="0" w:color="auto"/>
        <w:left w:val="none" w:sz="0" w:space="0" w:color="auto"/>
        <w:bottom w:val="none" w:sz="0" w:space="0" w:color="auto"/>
        <w:right w:val="none" w:sz="0" w:space="0" w:color="auto"/>
      </w:divBdr>
    </w:div>
    <w:div w:id="1156146491">
      <w:bodyDiv w:val="1"/>
      <w:marLeft w:val="0"/>
      <w:marRight w:val="0"/>
      <w:marTop w:val="0"/>
      <w:marBottom w:val="0"/>
      <w:divBdr>
        <w:top w:val="none" w:sz="0" w:space="0" w:color="auto"/>
        <w:left w:val="none" w:sz="0" w:space="0" w:color="auto"/>
        <w:bottom w:val="none" w:sz="0" w:space="0" w:color="auto"/>
        <w:right w:val="none" w:sz="0" w:space="0" w:color="auto"/>
      </w:divBdr>
    </w:div>
    <w:div w:id="1186285823">
      <w:bodyDiv w:val="1"/>
      <w:marLeft w:val="0"/>
      <w:marRight w:val="0"/>
      <w:marTop w:val="0"/>
      <w:marBottom w:val="0"/>
      <w:divBdr>
        <w:top w:val="none" w:sz="0" w:space="0" w:color="auto"/>
        <w:left w:val="none" w:sz="0" w:space="0" w:color="auto"/>
        <w:bottom w:val="none" w:sz="0" w:space="0" w:color="auto"/>
        <w:right w:val="none" w:sz="0" w:space="0" w:color="auto"/>
      </w:divBdr>
    </w:div>
    <w:div w:id="1274435722">
      <w:bodyDiv w:val="1"/>
      <w:marLeft w:val="0"/>
      <w:marRight w:val="0"/>
      <w:marTop w:val="0"/>
      <w:marBottom w:val="0"/>
      <w:divBdr>
        <w:top w:val="none" w:sz="0" w:space="0" w:color="auto"/>
        <w:left w:val="none" w:sz="0" w:space="0" w:color="auto"/>
        <w:bottom w:val="none" w:sz="0" w:space="0" w:color="auto"/>
        <w:right w:val="none" w:sz="0" w:space="0" w:color="auto"/>
      </w:divBdr>
    </w:div>
    <w:div w:id="1287463440">
      <w:bodyDiv w:val="1"/>
      <w:marLeft w:val="0"/>
      <w:marRight w:val="0"/>
      <w:marTop w:val="0"/>
      <w:marBottom w:val="0"/>
      <w:divBdr>
        <w:top w:val="none" w:sz="0" w:space="0" w:color="auto"/>
        <w:left w:val="none" w:sz="0" w:space="0" w:color="auto"/>
        <w:bottom w:val="none" w:sz="0" w:space="0" w:color="auto"/>
        <w:right w:val="none" w:sz="0" w:space="0" w:color="auto"/>
      </w:divBdr>
    </w:div>
    <w:div w:id="1353066025">
      <w:bodyDiv w:val="1"/>
      <w:marLeft w:val="0"/>
      <w:marRight w:val="0"/>
      <w:marTop w:val="0"/>
      <w:marBottom w:val="0"/>
      <w:divBdr>
        <w:top w:val="none" w:sz="0" w:space="0" w:color="auto"/>
        <w:left w:val="none" w:sz="0" w:space="0" w:color="auto"/>
        <w:bottom w:val="none" w:sz="0" w:space="0" w:color="auto"/>
        <w:right w:val="none" w:sz="0" w:space="0" w:color="auto"/>
      </w:divBdr>
    </w:div>
    <w:div w:id="1360088025">
      <w:bodyDiv w:val="1"/>
      <w:marLeft w:val="0"/>
      <w:marRight w:val="0"/>
      <w:marTop w:val="0"/>
      <w:marBottom w:val="0"/>
      <w:divBdr>
        <w:top w:val="none" w:sz="0" w:space="0" w:color="auto"/>
        <w:left w:val="none" w:sz="0" w:space="0" w:color="auto"/>
        <w:bottom w:val="none" w:sz="0" w:space="0" w:color="auto"/>
        <w:right w:val="none" w:sz="0" w:space="0" w:color="auto"/>
      </w:divBdr>
    </w:div>
    <w:div w:id="1386760719">
      <w:bodyDiv w:val="1"/>
      <w:marLeft w:val="0"/>
      <w:marRight w:val="0"/>
      <w:marTop w:val="0"/>
      <w:marBottom w:val="0"/>
      <w:divBdr>
        <w:top w:val="none" w:sz="0" w:space="0" w:color="auto"/>
        <w:left w:val="none" w:sz="0" w:space="0" w:color="auto"/>
        <w:bottom w:val="none" w:sz="0" w:space="0" w:color="auto"/>
        <w:right w:val="none" w:sz="0" w:space="0" w:color="auto"/>
      </w:divBdr>
    </w:div>
    <w:div w:id="1397162061">
      <w:bodyDiv w:val="1"/>
      <w:marLeft w:val="0"/>
      <w:marRight w:val="0"/>
      <w:marTop w:val="0"/>
      <w:marBottom w:val="0"/>
      <w:divBdr>
        <w:top w:val="none" w:sz="0" w:space="0" w:color="auto"/>
        <w:left w:val="none" w:sz="0" w:space="0" w:color="auto"/>
        <w:bottom w:val="none" w:sz="0" w:space="0" w:color="auto"/>
        <w:right w:val="none" w:sz="0" w:space="0" w:color="auto"/>
      </w:divBdr>
    </w:div>
    <w:div w:id="1535344015">
      <w:bodyDiv w:val="1"/>
      <w:marLeft w:val="0"/>
      <w:marRight w:val="0"/>
      <w:marTop w:val="0"/>
      <w:marBottom w:val="0"/>
      <w:divBdr>
        <w:top w:val="none" w:sz="0" w:space="0" w:color="auto"/>
        <w:left w:val="none" w:sz="0" w:space="0" w:color="auto"/>
        <w:bottom w:val="none" w:sz="0" w:space="0" w:color="auto"/>
        <w:right w:val="none" w:sz="0" w:space="0" w:color="auto"/>
      </w:divBdr>
    </w:div>
    <w:div w:id="1540627927">
      <w:bodyDiv w:val="1"/>
      <w:marLeft w:val="0"/>
      <w:marRight w:val="0"/>
      <w:marTop w:val="0"/>
      <w:marBottom w:val="0"/>
      <w:divBdr>
        <w:top w:val="none" w:sz="0" w:space="0" w:color="auto"/>
        <w:left w:val="none" w:sz="0" w:space="0" w:color="auto"/>
        <w:bottom w:val="none" w:sz="0" w:space="0" w:color="auto"/>
        <w:right w:val="none" w:sz="0" w:space="0" w:color="auto"/>
      </w:divBdr>
    </w:div>
    <w:div w:id="1544172956">
      <w:bodyDiv w:val="1"/>
      <w:marLeft w:val="0"/>
      <w:marRight w:val="0"/>
      <w:marTop w:val="0"/>
      <w:marBottom w:val="0"/>
      <w:divBdr>
        <w:top w:val="none" w:sz="0" w:space="0" w:color="auto"/>
        <w:left w:val="none" w:sz="0" w:space="0" w:color="auto"/>
        <w:bottom w:val="none" w:sz="0" w:space="0" w:color="auto"/>
        <w:right w:val="none" w:sz="0" w:space="0" w:color="auto"/>
      </w:divBdr>
    </w:div>
    <w:div w:id="1569532948">
      <w:bodyDiv w:val="1"/>
      <w:marLeft w:val="0"/>
      <w:marRight w:val="0"/>
      <w:marTop w:val="0"/>
      <w:marBottom w:val="0"/>
      <w:divBdr>
        <w:top w:val="none" w:sz="0" w:space="0" w:color="auto"/>
        <w:left w:val="none" w:sz="0" w:space="0" w:color="auto"/>
        <w:bottom w:val="none" w:sz="0" w:space="0" w:color="auto"/>
        <w:right w:val="none" w:sz="0" w:space="0" w:color="auto"/>
      </w:divBdr>
    </w:div>
    <w:div w:id="1584072933">
      <w:bodyDiv w:val="1"/>
      <w:marLeft w:val="0"/>
      <w:marRight w:val="0"/>
      <w:marTop w:val="0"/>
      <w:marBottom w:val="0"/>
      <w:divBdr>
        <w:top w:val="none" w:sz="0" w:space="0" w:color="auto"/>
        <w:left w:val="none" w:sz="0" w:space="0" w:color="auto"/>
        <w:bottom w:val="none" w:sz="0" w:space="0" w:color="auto"/>
        <w:right w:val="none" w:sz="0" w:space="0" w:color="auto"/>
      </w:divBdr>
    </w:div>
    <w:div w:id="1674870175">
      <w:bodyDiv w:val="1"/>
      <w:marLeft w:val="0"/>
      <w:marRight w:val="0"/>
      <w:marTop w:val="0"/>
      <w:marBottom w:val="0"/>
      <w:divBdr>
        <w:top w:val="none" w:sz="0" w:space="0" w:color="auto"/>
        <w:left w:val="none" w:sz="0" w:space="0" w:color="auto"/>
        <w:bottom w:val="none" w:sz="0" w:space="0" w:color="auto"/>
        <w:right w:val="none" w:sz="0" w:space="0" w:color="auto"/>
      </w:divBdr>
      <w:divsChild>
        <w:div w:id="1888253214">
          <w:marLeft w:val="0"/>
          <w:marRight w:val="0"/>
          <w:marTop w:val="0"/>
          <w:marBottom w:val="0"/>
          <w:divBdr>
            <w:top w:val="none" w:sz="0" w:space="0" w:color="auto"/>
            <w:left w:val="none" w:sz="0" w:space="0" w:color="auto"/>
            <w:bottom w:val="none" w:sz="0" w:space="0" w:color="auto"/>
            <w:right w:val="none" w:sz="0" w:space="0" w:color="auto"/>
          </w:divBdr>
          <w:divsChild>
            <w:div w:id="1995837247">
              <w:marLeft w:val="0"/>
              <w:marRight w:val="0"/>
              <w:marTop w:val="0"/>
              <w:marBottom w:val="0"/>
              <w:divBdr>
                <w:top w:val="none" w:sz="0" w:space="0" w:color="auto"/>
                <w:left w:val="none" w:sz="0" w:space="0" w:color="auto"/>
                <w:bottom w:val="none" w:sz="0" w:space="0" w:color="auto"/>
                <w:right w:val="none" w:sz="0" w:space="0" w:color="auto"/>
              </w:divBdr>
              <w:divsChild>
                <w:div w:id="501697594">
                  <w:marLeft w:val="0"/>
                  <w:marRight w:val="0"/>
                  <w:marTop w:val="0"/>
                  <w:marBottom w:val="0"/>
                  <w:divBdr>
                    <w:top w:val="none" w:sz="0" w:space="0" w:color="auto"/>
                    <w:left w:val="none" w:sz="0" w:space="0" w:color="auto"/>
                    <w:bottom w:val="none" w:sz="0" w:space="0" w:color="auto"/>
                    <w:right w:val="none" w:sz="0" w:space="0" w:color="auto"/>
                  </w:divBdr>
                  <w:divsChild>
                    <w:div w:id="481581200">
                      <w:marLeft w:val="0"/>
                      <w:marRight w:val="0"/>
                      <w:marTop w:val="0"/>
                      <w:marBottom w:val="0"/>
                      <w:divBdr>
                        <w:top w:val="none" w:sz="0" w:space="0" w:color="auto"/>
                        <w:left w:val="none" w:sz="0" w:space="0" w:color="auto"/>
                        <w:bottom w:val="none" w:sz="0" w:space="0" w:color="auto"/>
                        <w:right w:val="none" w:sz="0" w:space="0" w:color="auto"/>
                      </w:divBdr>
                      <w:divsChild>
                        <w:div w:id="386729408">
                          <w:marLeft w:val="0"/>
                          <w:marRight w:val="0"/>
                          <w:marTop w:val="0"/>
                          <w:marBottom w:val="0"/>
                          <w:divBdr>
                            <w:top w:val="none" w:sz="0" w:space="0" w:color="auto"/>
                            <w:left w:val="none" w:sz="0" w:space="0" w:color="auto"/>
                            <w:bottom w:val="none" w:sz="0" w:space="0" w:color="auto"/>
                            <w:right w:val="none" w:sz="0" w:space="0" w:color="auto"/>
                          </w:divBdr>
                          <w:divsChild>
                            <w:div w:id="495342608">
                              <w:marLeft w:val="0"/>
                              <w:marRight w:val="0"/>
                              <w:marTop w:val="0"/>
                              <w:marBottom w:val="0"/>
                              <w:divBdr>
                                <w:top w:val="none" w:sz="0" w:space="0" w:color="auto"/>
                                <w:left w:val="none" w:sz="0" w:space="0" w:color="auto"/>
                                <w:bottom w:val="none" w:sz="0" w:space="0" w:color="auto"/>
                                <w:right w:val="none" w:sz="0" w:space="0" w:color="auto"/>
                              </w:divBdr>
                              <w:divsChild>
                                <w:div w:id="479613722">
                                  <w:marLeft w:val="0"/>
                                  <w:marRight w:val="0"/>
                                  <w:marTop w:val="0"/>
                                  <w:marBottom w:val="0"/>
                                  <w:divBdr>
                                    <w:top w:val="none" w:sz="0" w:space="0" w:color="auto"/>
                                    <w:left w:val="none" w:sz="0" w:space="0" w:color="auto"/>
                                    <w:bottom w:val="none" w:sz="0" w:space="0" w:color="auto"/>
                                    <w:right w:val="none" w:sz="0" w:space="0" w:color="auto"/>
                                  </w:divBdr>
                                  <w:divsChild>
                                    <w:div w:id="1323893941">
                                      <w:marLeft w:val="0"/>
                                      <w:marRight w:val="0"/>
                                      <w:marTop w:val="0"/>
                                      <w:marBottom w:val="0"/>
                                      <w:divBdr>
                                        <w:top w:val="none" w:sz="0" w:space="0" w:color="auto"/>
                                        <w:left w:val="none" w:sz="0" w:space="0" w:color="auto"/>
                                        <w:bottom w:val="none" w:sz="0" w:space="0" w:color="auto"/>
                                        <w:right w:val="none" w:sz="0" w:space="0" w:color="auto"/>
                                      </w:divBdr>
                                      <w:divsChild>
                                        <w:div w:id="1186284798">
                                          <w:marLeft w:val="0"/>
                                          <w:marRight w:val="0"/>
                                          <w:marTop w:val="0"/>
                                          <w:marBottom w:val="0"/>
                                          <w:divBdr>
                                            <w:top w:val="none" w:sz="0" w:space="0" w:color="auto"/>
                                            <w:left w:val="none" w:sz="0" w:space="0" w:color="auto"/>
                                            <w:bottom w:val="none" w:sz="0" w:space="0" w:color="auto"/>
                                            <w:right w:val="none" w:sz="0" w:space="0" w:color="auto"/>
                                          </w:divBdr>
                                          <w:divsChild>
                                            <w:div w:id="88356506">
                                              <w:marLeft w:val="0"/>
                                              <w:marRight w:val="0"/>
                                              <w:marTop w:val="0"/>
                                              <w:marBottom w:val="0"/>
                                              <w:divBdr>
                                                <w:top w:val="none" w:sz="0" w:space="0" w:color="auto"/>
                                                <w:left w:val="none" w:sz="0" w:space="0" w:color="auto"/>
                                                <w:bottom w:val="none" w:sz="0" w:space="0" w:color="auto"/>
                                                <w:right w:val="none" w:sz="0" w:space="0" w:color="auto"/>
                                              </w:divBdr>
                                              <w:divsChild>
                                                <w:div w:id="186991514">
                                                  <w:marLeft w:val="0"/>
                                                  <w:marRight w:val="0"/>
                                                  <w:marTop w:val="0"/>
                                                  <w:marBottom w:val="0"/>
                                                  <w:divBdr>
                                                    <w:top w:val="none" w:sz="0" w:space="0" w:color="auto"/>
                                                    <w:left w:val="none" w:sz="0" w:space="0" w:color="auto"/>
                                                    <w:bottom w:val="none" w:sz="0" w:space="0" w:color="auto"/>
                                                    <w:right w:val="none" w:sz="0" w:space="0" w:color="auto"/>
                                                  </w:divBdr>
                                                  <w:divsChild>
                                                    <w:div w:id="647200137">
                                                      <w:marLeft w:val="0"/>
                                                      <w:marRight w:val="0"/>
                                                      <w:marTop w:val="0"/>
                                                      <w:marBottom w:val="0"/>
                                                      <w:divBdr>
                                                        <w:top w:val="none" w:sz="0" w:space="0" w:color="auto"/>
                                                        <w:left w:val="none" w:sz="0" w:space="0" w:color="auto"/>
                                                        <w:bottom w:val="none" w:sz="0" w:space="0" w:color="auto"/>
                                                        <w:right w:val="none" w:sz="0" w:space="0" w:color="auto"/>
                                                      </w:divBdr>
                                                      <w:divsChild>
                                                        <w:div w:id="136960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6400343">
          <w:marLeft w:val="0"/>
          <w:marRight w:val="0"/>
          <w:marTop w:val="0"/>
          <w:marBottom w:val="0"/>
          <w:divBdr>
            <w:top w:val="none" w:sz="0" w:space="0" w:color="auto"/>
            <w:left w:val="none" w:sz="0" w:space="0" w:color="auto"/>
            <w:bottom w:val="none" w:sz="0" w:space="0" w:color="auto"/>
            <w:right w:val="none" w:sz="0" w:space="0" w:color="auto"/>
          </w:divBdr>
          <w:divsChild>
            <w:div w:id="555355905">
              <w:marLeft w:val="0"/>
              <w:marRight w:val="0"/>
              <w:marTop w:val="0"/>
              <w:marBottom w:val="0"/>
              <w:divBdr>
                <w:top w:val="none" w:sz="0" w:space="0" w:color="auto"/>
                <w:left w:val="none" w:sz="0" w:space="0" w:color="auto"/>
                <w:bottom w:val="none" w:sz="0" w:space="0" w:color="auto"/>
                <w:right w:val="none" w:sz="0" w:space="0" w:color="auto"/>
              </w:divBdr>
              <w:divsChild>
                <w:div w:id="284194888">
                  <w:marLeft w:val="0"/>
                  <w:marRight w:val="0"/>
                  <w:marTop w:val="0"/>
                  <w:marBottom w:val="0"/>
                  <w:divBdr>
                    <w:top w:val="none" w:sz="0" w:space="0" w:color="auto"/>
                    <w:left w:val="none" w:sz="0" w:space="0" w:color="auto"/>
                    <w:bottom w:val="none" w:sz="0" w:space="0" w:color="auto"/>
                    <w:right w:val="none" w:sz="0" w:space="0" w:color="auto"/>
                  </w:divBdr>
                  <w:divsChild>
                    <w:div w:id="64889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2951">
      <w:bodyDiv w:val="1"/>
      <w:marLeft w:val="0"/>
      <w:marRight w:val="0"/>
      <w:marTop w:val="0"/>
      <w:marBottom w:val="0"/>
      <w:divBdr>
        <w:top w:val="none" w:sz="0" w:space="0" w:color="auto"/>
        <w:left w:val="none" w:sz="0" w:space="0" w:color="auto"/>
        <w:bottom w:val="none" w:sz="0" w:space="0" w:color="auto"/>
        <w:right w:val="none" w:sz="0" w:space="0" w:color="auto"/>
      </w:divBdr>
    </w:div>
    <w:div w:id="1815488862">
      <w:bodyDiv w:val="1"/>
      <w:marLeft w:val="0"/>
      <w:marRight w:val="0"/>
      <w:marTop w:val="0"/>
      <w:marBottom w:val="0"/>
      <w:divBdr>
        <w:top w:val="none" w:sz="0" w:space="0" w:color="auto"/>
        <w:left w:val="none" w:sz="0" w:space="0" w:color="auto"/>
        <w:bottom w:val="none" w:sz="0" w:space="0" w:color="auto"/>
        <w:right w:val="none" w:sz="0" w:space="0" w:color="auto"/>
      </w:divBdr>
    </w:div>
    <w:div w:id="1831557547">
      <w:bodyDiv w:val="1"/>
      <w:marLeft w:val="0"/>
      <w:marRight w:val="0"/>
      <w:marTop w:val="0"/>
      <w:marBottom w:val="0"/>
      <w:divBdr>
        <w:top w:val="none" w:sz="0" w:space="0" w:color="auto"/>
        <w:left w:val="none" w:sz="0" w:space="0" w:color="auto"/>
        <w:bottom w:val="none" w:sz="0" w:space="0" w:color="auto"/>
        <w:right w:val="none" w:sz="0" w:space="0" w:color="auto"/>
      </w:divBdr>
    </w:div>
    <w:div w:id="1842616900">
      <w:bodyDiv w:val="1"/>
      <w:marLeft w:val="0"/>
      <w:marRight w:val="0"/>
      <w:marTop w:val="0"/>
      <w:marBottom w:val="0"/>
      <w:divBdr>
        <w:top w:val="none" w:sz="0" w:space="0" w:color="auto"/>
        <w:left w:val="none" w:sz="0" w:space="0" w:color="auto"/>
        <w:bottom w:val="none" w:sz="0" w:space="0" w:color="auto"/>
        <w:right w:val="none" w:sz="0" w:space="0" w:color="auto"/>
      </w:divBdr>
    </w:div>
    <w:div w:id="1869368250">
      <w:bodyDiv w:val="1"/>
      <w:marLeft w:val="0"/>
      <w:marRight w:val="0"/>
      <w:marTop w:val="0"/>
      <w:marBottom w:val="0"/>
      <w:divBdr>
        <w:top w:val="none" w:sz="0" w:space="0" w:color="auto"/>
        <w:left w:val="none" w:sz="0" w:space="0" w:color="auto"/>
        <w:bottom w:val="none" w:sz="0" w:space="0" w:color="auto"/>
        <w:right w:val="none" w:sz="0" w:space="0" w:color="auto"/>
      </w:divBdr>
    </w:div>
    <w:div w:id="1880781747">
      <w:bodyDiv w:val="1"/>
      <w:marLeft w:val="0"/>
      <w:marRight w:val="0"/>
      <w:marTop w:val="0"/>
      <w:marBottom w:val="0"/>
      <w:divBdr>
        <w:top w:val="none" w:sz="0" w:space="0" w:color="auto"/>
        <w:left w:val="none" w:sz="0" w:space="0" w:color="auto"/>
        <w:bottom w:val="none" w:sz="0" w:space="0" w:color="auto"/>
        <w:right w:val="none" w:sz="0" w:space="0" w:color="auto"/>
      </w:divBdr>
    </w:div>
    <w:div w:id="1903635316">
      <w:bodyDiv w:val="1"/>
      <w:marLeft w:val="0"/>
      <w:marRight w:val="0"/>
      <w:marTop w:val="0"/>
      <w:marBottom w:val="0"/>
      <w:divBdr>
        <w:top w:val="none" w:sz="0" w:space="0" w:color="auto"/>
        <w:left w:val="none" w:sz="0" w:space="0" w:color="auto"/>
        <w:bottom w:val="none" w:sz="0" w:space="0" w:color="auto"/>
        <w:right w:val="none" w:sz="0" w:space="0" w:color="auto"/>
      </w:divBdr>
    </w:div>
    <w:div w:id="1964189951">
      <w:bodyDiv w:val="1"/>
      <w:marLeft w:val="0"/>
      <w:marRight w:val="0"/>
      <w:marTop w:val="0"/>
      <w:marBottom w:val="0"/>
      <w:divBdr>
        <w:top w:val="none" w:sz="0" w:space="0" w:color="auto"/>
        <w:left w:val="none" w:sz="0" w:space="0" w:color="auto"/>
        <w:bottom w:val="none" w:sz="0" w:space="0" w:color="auto"/>
        <w:right w:val="none" w:sz="0" w:space="0" w:color="auto"/>
      </w:divBdr>
    </w:div>
    <w:div w:id="2113549409">
      <w:bodyDiv w:val="1"/>
      <w:marLeft w:val="0"/>
      <w:marRight w:val="0"/>
      <w:marTop w:val="0"/>
      <w:marBottom w:val="0"/>
      <w:divBdr>
        <w:top w:val="none" w:sz="0" w:space="0" w:color="auto"/>
        <w:left w:val="none" w:sz="0" w:space="0" w:color="auto"/>
        <w:bottom w:val="none" w:sz="0" w:space="0" w:color="auto"/>
        <w:right w:val="none" w:sz="0" w:space="0" w:color="auto"/>
      </w:divBdr>
    </w:div>
    <w:div w:id="211493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16/j.jbusres.2011.06.025" TargetMode="External"/><Relationship Id="rId18" Type="http://schemas.openxmlformats.org/officeDocument/2006/relationships/hyperlink" Target="https://doi.org/10.1016/j.ijinfomgt.2013.06.00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1016/j.imu.2018.03.003" TargetMode="External"/><Relationship Id="rId7" Type="http://schemas.openxmlformats.org/officeDocument/2006/relationships/image" Target="media/image2.png"/><Relationship Id="rId12" Type="http://schemas.openxmlformats.org/officeDocument/2006/relationships/hyperlink" Target="https://doi.org/10.1111/j.1468-246X.2009.01327.x" TargetMode="External"/><Relationship Id="rId17" Type="http://schemas.openxmlformats.org/officeDocument/2006/relationships/hyperlink" Target="https://doi.org/10.1016/j.ememar.2021.10084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16/j.ijinfomgt.2023.102680" TargetMode="External"/><Relationship Id="rId20" Type="http://schemas.openxmlformats.org/officeDocument/2006/relationships/hyperlink" Target="https://doi.org/10.1016/j.chb.2015.07.012"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doi.org/10.1016/j.joitmc.2023.100010" TargetMode="External"/><Relationship Id="rId24" Type="http://schemas.openxmlformats.org/officeDocument/2006/relationships/hyperlink" Target="https://doi.org/10.1016/j.techfore.2022.121891" TargetMode="External"/><Relationship Id="rId5" Type="http://schemas.openxmlformats.org/officeDocument/2006/relationships/webSettings" Target="webSettings.xml"/><Relationship Id="rId15" Type="http://schemas.openxmlformats.org/officeDocument/2006/relationships/hyperlink" Target="https://doi.org/10.1016/j.techfore.2021.120594" TargetMode="External"/><Relationship Id="rId23" Type="http://schemas.openxmlformats.org/officeDocument/2006/relationships/hyperlink" Target="https://doi.org/10.1111/j.1540-5915.1996.tb00860.x" TargetMode="External"/><Relationship Id="rId10" Type="http://schemas.openxmlformats.org/officeDocument/2006/relationships/hyperlink" Target="https://doi.org/10.1016/j.techsoc.2020.101509" TargetMode="External"/><Relationship Id="rId19" Type="http://schemas.openxmlformats.org/officeDocument/2006/relationships/hyperlink" Target="https://doi.org/10.1016/j.chb.2010.06.020" TargetMode="External"/><Relationship Id="rId4" Type="http://schemas.openxmlformats.org/officeDocument/2006/relationships/settings" Target="settings.xml"/><Relationship Id="rId9" Type="http://schemas.openxmlformats.org/officeDocument/2006/relationships/hyperlink" Target="https://doi.org/10.1016/j.ijinfomgt.2017.03.008" TargetMode="External"/><Relationship Id="rId14" Type="http://schemas.openxmlformats.org/officeDocument/2006/relationships/hyperlink" Target="https://doi.org/10.1016/j.ijmedinf.2017.02.002" TargetMode="External"/><Relationship Id="rId22" Type="http://schemas.openxmlformats.org/officeDocument/2006/relationships/hyperlink" Target="https://doi.org/10.1016/j.ijhcs.2006.05.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1865D-2759-438C-B6D5-F277BEF10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26</Pages>
  <Words>17203</Words>
  <Characters>98062</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17</cp:revision>
  <dcterms:created xsi:type="dcterms:W3CDTF">2024-09-28T06:50:00Z</dcterms:created>
  <dcterms:modified xsi:type="dcterms:W3CDTF">2024-10-26T17:23:00Z</dcterms:modified>
</cp:coreProperties>
</file>